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344D1">
      <w:pPr>
        <w:tabs>
          <w:tab w:val="left" w:pos="618"/>
        </w:tabs>
        <w:snapToGrid w:val="0"/>
        <w:spacing w:line="240" w:lineRule="atLeast"/>
        <w:jc w:val="left"/>
        <w:rPr>
          <w:rFonts w:ascii="黑体" w:eastAsia="黑体" w:cs="Calibri"/>
          <w:sz w:val="32"/>
          <w:szCs w:val="32"/>
          <w:lang w:bidi="en-US"/>
        </w:rPr>
      </w:pPr>
      <w:bookmarkStart w:id="0" w:name="_GoBack"/>
      <w:bookmarkEnd w:id="0"/>
      <w:r>
        <w:rPr>
          <w:rFonts w:hint="eastAsia" w:ascii="黑体" w:eastAsia="黑体" w:cs="Calibri"/>
          <w:sz w:val="32"/>
          <w:szCs w:val="32"/>
          <w:lang w:bidi="en-US"/>
        </w:rPr>
        <w:t>附件</w:t>
      </w:r>
    </w:p>
    <w:p w14:paraId="7412F069">
      <w:pPr>
        <w:snapToGrid w:val="0"/>
        <w:spacing w:before="156" w:beforeLines="50" w:after="312" w:afterLines="100" w:line="640" w:lineRule="exact"/>
        <w:jc w:val="center"/>
        <w:rPr>
          <w:rFonts w:ascii="方正小标宋简体" w:hAnsi="宋体" w:eastAsia="方正小标宋简体" w:cs="Calibri"/>
          <w:sz w:val="44"/>
          <w:szCs w:val="44"/>
        </w:rPr>
      </w:pPr>
      <w:r>
        <w:rPr>
          <w:rFonts w:hint="eastAsia" w:ascii="方正小标宋简体" w:hAnsi="宋体" w:eastAsia="方正小标宋简体" w:cs="Calibri"/>
          <w:sz w:val="44"/>
          <w:szCs w:val="44"/>
        </w:rPr>
        <w:t>医疗器械行业标准信息表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1935"/>
        <w:gridCol w:w="2225"/>
        <w:gridCol w:w="737"/>
        <w:gridCol w:w="2451"/>
        <w:gridCol w:w="5707"/>
        <w:gridCol w:w="1566"/>
      </w:tblGrid>
      <w:tr w14:paraId="24DC8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27" w:type="dxa"/>
            <w:noWrap w:val="0"/>
            <w:tcMar>
              <w:top w:w="28" w:type="dxa"/>
              <w:left w:w="57" w:type="dxa"/>
              <w:bottom w:w="28" w:type="dxa"/>
              <w:right w:w="57" w:type="dxa"/>
            </w:tcMar>
            <w:vAlign w:val="center"/>
          </w:tcPr>
          <w:p w14:paraId="2D6C2874">
            <w:pPr>
              <w:adjustRightInd w:val="0"/>
              <w:snapToGrid w:val="0"/>
              <w:spacing w:line="320" w:lineRule="exact"/>
              <w:jc w:val="center"/>
              <w:rPr>
                <w:rFonts w:ascii="Times New Roman" w:hAnsi="Times New Roman" w:eastAsia="黑体"/>
                <w:bCs/>
                <w:sz w:val="24"/>
              </w:rPr>
            </w:pPr>
            <w:r>
              <w:rPr>
                <w:rFonts w:ascii="Times New Roman" w:hAnsi="Times New Roman" w:eastAsia="黑体"/>
                <w:bCs/>
                <w:sz w:val="24"/>
              </w:rPr>
              <w:t>序号</w:t>
            </w:r>
          </w:p>
        </w:tc>
        <w:tc>
          <w:tcPr>
            <w:tcW w:w="1935" w:type="dxa"/>
            <w:noWrap w:val="0"/>
            <w:tcMar>
              <w:top w:w="28" w:type="dxa"/>
              <w:left w:w="57" w:type="dxa"/>
              <w:bottom w:w="28" w:type="dxa"/>
              <w:right w:w="57" w:type="dxa"/>
            </w:tcMar>
            <w:vAlign w:val="center"/>
          </w:tcPr>
          <w:p w14:paraId="69E7E3BF">
            <w:pPr>
              <w:adjustRightInd w:val="0"/>
              <w:snapToGrid w:val="0"/>
              <w:spacing w:line="320" w:lineRule="exact"/>
              <w:jc w:val="center"/>
              <w:rPr>
                <w:rFonts w:ascii="Times New Roman" w:hAnsi="Times New Roman" w:eastAsia="黑体"/>
                <w:bCs/>
                <w:sz w:val="24"/>
              </w:rPr>
            </w:pPr>
            <w:r>
              <w:rPr>
                <w:rFonts w:ascii="Times New Roman" w:hAnsi="Times New Roman" w:eastAsia="黑体"/>
                <w:bCs/>
                <w:sz w:val="24"/>
              </w:rPr>
              <w:t>标准</w:t>
            </w:r>
            <w:r>
              <w:rPr>
                <w:rFonts w:ascii="Times New Roman" w:hAnsi="Times New Roman" w:eastAsia="黑体"/>
                <w:bCs/>
                <w:sz w:val="24"/>
              </w:rPr>
              <w:br w:type="textWrapping"/>
            </w:r>
            <w:r>
              <w:rPr>
                <w:rFonts w:ascii="Times New Roman" w:hAnsi="Times New Roman" w:eastAsia="黑体"/>
                <w:bCs/>
                <w:sz w:val="24"/>
              </w:rPr>
              <w:t>编号</w:t>
            </w:r>
          </w:p>
        </w:tc>
        <w:tc>
          <w:tcPr>
            <w:tcW w:w="2225" w:type="dxa"/>
            <w:noWrap w:val="0"/>
            <w:tcMar>
              <w:top w:w="28" w:type="dxa"/>
              <w:left w:w="57" w:type="dxa"/>
              <w:bottom w:w="28" w:type="dxa"/>
              <w:right w:w="57" w:type="dxa"/>
            </w:tcMar>
            <w:vAlign w:val="center"/>
          </w:tcPr>
          <w:p w14:paraId="67531AAC">
            <w:pPr>
              <w:adjustRightInd w:val="0"/>
              <w:snapToGrid w:val="0"/>
              <w:spacing w:line="320" w:lineRule="exact"/>
              <w:jc w:val="center"/>
              <w:rPr>
                <w:rFonts w:ascii="Times New Roman" w:hAnsi="Times New Roman" w:eastAsia="黑体"/>
                <w:bCs/>
                <w:sz w:val="24"/>
              </w:rPr>
            </w:pPr>
            <w:r>
              <w:rPr>
                <w:rFonts w:ascii="Times New Roman" w:hAnsi="Times New Roman" w:eastAsia="黑体"/>
                <w:bCs/>
                <w:sz w:val="24"/>
              </w:rPr>
              <w:t>标准名称</w:t>
            </w:r>
          </w:p>
        </w:tc>
        <w:tc>
          <w:tcPr>
            <w:tcW w:w="737" w:type="dxa"/>
            <w:noWrap w:val="0"/>
            <w:tcMar>
              <w:top w:w="28" w:type="dxa"/>
              <w:left w:w="57" w:type="dxa"/>
              <w:bottom w:w="28" w:type="dxa"/>
              <w:right w:w="57" w:type="dxa"/>
            </w:tcMar>
            <w:vAlign w:val="center"/>
          </w:tcPr>
          <w:p w14:paraId="54A1F1F3">
            <w:pPr>
              <w:adjustRightInd w:val="0"/>
              <w:snapToGrid w:val="0"/>
              <w:spacing w:line="320" w:lineRule="exact"/>
              <w:jc w:val="center"/>
              <w:rPr>
                <w:rFonts w:ascii="Times New Roman" w:hAnsi="Times New Roman" w:eastAsia="黑体"/>
                <w:bCs/>
                <w:sz w:val="24"/>
              </w:rPr>
            </w:pPr>
            <w:r>
              <w:rPr>
                <w:rFonts w:ascii="Times New Roman" w:hAnsi="Times New Roman" w:eastAsia="黑体"/>
                <w:bCs/>
                <w:sz w:val="24"/>
              </w:rPr>
              <w:t>制修订</w:t>
            </w:r>
          </w:p>
        </w:tc>
        <w:tc>
          <w:tcPr>
            <w:tcW w:w="2451" w:type="dxa"/>
            <w:noWrap w:val="0"/>
            <w:tcMar>
              <w:top w:w="28" w:type="dxa"/>
              <w:left w:w="57" w:type="dxa"/>
              <w:bottom w:w="28" w:type="dxa"/>
              <w:right w:w="57" w:type="dxa"/>
            </w:tcMar>
            <w:vAlign w:val="center"/>
          </w:tcPr>
          <w:p w14:paraId="6AADD6B2">
            <w:pPr>
              <w:adjustRightInd w:val="0"/>
              <w:snapToGrid w:val="0"/>
              <w:spacing w:line="320" w:lineRule="exact"/>
              <w:jc w:val="center"/>
              <w:rPr>
                <w:rFonts w:ascii="Times New Roman" w:hAnsi="Times New Roman" w:eastAsia="黑体"/>
                <w:bCs/>
                <w:sz w:val="24"/>
              </w:rPr>
            </w:pPr>
            <w:r>
              <w:rPr>
                <w:rFonts w:ascii="Times New Roman" w:hAnsi="Times New Roman" w:eastAsia="黑体"/>
                <w:bCs/>
                <w:sz w:val="24"/>
              </w:rPr>
              <w:t>替代</w:t>
            </w:r>
            <w:r>
              <w:rPr>
                <w:rFonts w:ascii="Times New Roman" w:hAnsi="Times New Roman" w:eastAsia="黑体"/>
                <w:bCs/>
                <w:sz w:val="24"/>
              </w:rPr>
              <w:br w:type="textWrapping"/>
            </w:r>
            <w:r>
              <w:rPr>
                <w:rFonts w:ascii="Times New Roman" w:hAnsi="Times New Roman" w:eastAsia="黑体"/>
                <w:bCs/>
                <w:sz w:val="24"/>
              </w:rPr>
              <w:t>标准</w:t>
            </w:r>
          </w:p>
        </w:tc>
        <w:tc>
          <w:tcPr>
            <w:tcW w:w="5707" w:type="dxa"/>
            <w:noWrap w:val="0"/>
            <w:tcMar>
              <w:top w:w="28" w:type="dxa"/>
              <w:left w:w="57" w:type="dxa"/>
              <w:bottom w:w="28" w:type="dxa"/>
              <w:right w:w="57" w:type="dxa"/>
            </w:tcMar>
            <w:vAlign w:val="center"/>
          </w:tcPr>
          <w:p w14:paraId="65FD6F45">
            <w:pPr>
              <w:adjustRightInd w:val="0"/>
              <w:snapToGrid w:val="0"/>
              <w:spacing w:line="320" w:lineRule="exact"/>
              <w:jc w:val="center"/>
              <w:rPr>
                <w:rFonts w:ascii="Times New Roman" w:hAnsi="Times New Roman" w:eastAsia="黑体"/>
                <w:bCs/>
                <w:sz w:val="24"/>
              </w:rPr>
            </w:pPr>
            <w:r>
              <w:rPr>
                <w:rFonts w:ascii="Times New Roman" w:hAnsi="Times New Roman" w:eastAsia="黑体"/>
                <w:bCs/>
                <w:sz w:val="24"/>
              </w:rPr>
              <w:t>适用范围</w:t>
            </w:r>
          </w:p>
        </w:tc>
        <w:tc>
          <w:tcPr>
            <w:tcW w:w="1566" w:type="dxa"/>
            <w:noWrap w:val="0"/>
            <w:tcMar>
              <w:top w:w="28" w:type="dxa"/>
              <w:left w:w="57" w:type="dxa"/>
              <w:bottom w:w="28" w:type="dxa"/>
              <w:right w:w="57" w:type="dxa"/>
            </w:tcMar>
            <w:vAlign w:val="center"/>
          </w:tcPr>
          <w:p w14:paraId="5FF9693C">
            <w:pPr>
              <w:adjustRightInd w:val="0"/>
              <w:snapToGrid w:val="0"/>
              <w:spacing w:line="320" w:lineRule="exact"/>
              <w:jc w:val="center"/>
              <w:rPr>
                <w:rFonts w:ascii="Times New Roman" w:hAnsi="Times New Roman" w:eastAsia="黑体"/>
                <w:bCs/>
                <w:sz w:val="24"/>
              </w:rPr>
            </w:pPr>
            <w:r>
              <w:rPr>
                <w:rFonts w:ascii="Times New Roman" w:hAnsi="Times New Roman" w:eastAsia="黑体"/>
                <w:bCs/>
                <w:sz w:val="24"/>
              </w:rPr>
              <w:t>实施日期</w:t>
            </w:r>
          </w:p>
        </w:tc>
      </w:tr>
      <w:tr w14:paraId="6122D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3" w:hRule="atLeast"/>
          <w:jc w:val="center"/>
        </w:trPr>
        <w:tc>
          <w:tcPr>
            <w:tcW w:w="527" w:type="dxa"/>
            <w:noWrap w:val="0"/>
            <w:tcMar>
              <w:top w:w="28" w:type="dxa"/>
              <w:left w:w="57" w:type="dxa"/>
              <w:bottom w:w="28" w:type="dxa"/>
              <w:right w:w="57" w:type="dxa"/>
            </w:tcMar>
            <w:vAlign w:val="center"/>
          </w:tcPr>
          <w:p w14:paraId="06092485">
            <w:pPr>
              <w:adjustRightInd w:val="0"/>
              <w:snapToGrid w:val="0"/>
              <w:spacing w:line="320" w:lineRule="exact"/>
              <w:jc w:val="center"/>
              <w:rPr>
                <w:rFonts w:ascii="Times New Roman" w:hAnsi="Times New Roman" w:eastAsia="黑体"/>
                <w:bCs/>
                <w:sz w:val="24"/>
              </w:rPr>
            </w:pPr>
            <w:r>
              <w:rPr>
                <w:rFonts w:ascii="Times New Roman" w:hAnsi="Times New Roman" w:eastAsia="仿宋_GB2312"/>
                <w:color w:val="000000"/>
                <w:sz w:val="24"/>
              </w:rPr>
              <w:t>1</w:t>
            </w:r>
          </w:p>
        </w:tc>
        <w:tc>
          <w:tcPr>
            <w:tcW w:w="1935" w:type="dxa"/>
            <w:noWrap w:val="0"/>
            <w:tcMar>
              <w:top w:w="28" w:type="dxa"/>
              <w:left w:w="57" w:type="dxa"/>
              <w:bottom w:w="28" w:type="dxa"/>
              <w:right w:w="57" w:type="dxa"/>
            </w:tcMar>
            <w:vAlign w:val="center"/>
          </w:tcPr>
          <w:p w14:paraId="371AE620">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YY 0271.2—2024</w:t>
            </w:r>
          </w:p>
        </w:tc>
        <w:tc>
          <w:tcPr>
            <w:tcW w:w="2225" w:type="dxa"/>
            <w:noWrap w:val="0"/>
            <w:tcMar>
              <w:top w:w="28" w:type="dxa"/>
              <w:left w:w="57" w:type="dxa"/>
              <w:bottom w:w="28" w:type="dxa"/>
              <w:right w:w="57" w:type="dxa"/>
            </w:tcMar>
            <w:vAlign w:val="center"/>
          </w:tcPr>
          <w:p w14:paraId="2D7F8598">
            <w:pPr>
              <w:spacing w:line="320" w:lineRule="exact"/>
              <w:jc w:val="center"/>
              <w:rPr>
                <w:rFonts w:ascii="Times New Roman" w:hAnsi="Times New Roman"/>
                <w:sz w:val="24"/>
              </w:rPr>
            </w:pPr>
            <w:r>
              <w:rPr>
                <w:rFonts w:ascii="Times New Roman" w:hAnsi="Times New Roman" w:eastAsia="仿宋_GB2312"/>
                <w:color w:val="000000"/>
                <w:sz w:val="24"/>
              </w:rPr>
              <w:t>牙科学 水基水门汀 第2部分：树脂改性水门汀</w:t>
            </w:r>
          </w:p>
        </w:tc>
        <w:tc>
          <w:tcPr>
            <w:tcW w:w="737" w:type="dxa"/>
            <w:noWrap w:val="0"/>
            <w:tcMar>
              <w:top w:w="28" w:type="dxa"/>
              <w:left w:w="57" w:type="dxa"/>
              <w:bottom w:w="28" w:type="dxa"/>
              <w:right w:w="57" w:type="dxa"/>
            </w:tcMar>
            <w:vAlign w:val="center"/>
          </w:tcPr>
          <w:p w14:paraId="59A88515">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修订</w:t>
            </w:r>
          </w:p>
        </w:tc>
        <w:tc>
          <w:tcPr>
            <w:tcW w:w="2451" w:type="dxa"/>
            <w:noWrap w:val="0"/>
            <w:tcMar>
              <w:top w:w="28" w:type="dxa"/>
              <w:left w:w="57" w:type="dxa"/>
              <w:bottom w:w="28" w:type="dxa"/>
              <w:right w:w="57" w:type="dxa"/>
            </w:tcMar>
            <w:vAlign w:val="center"/>
          </w:tcPr>
          <w:p w14:paraId="62635768">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YY 0271.2—2016</w:t>
            </w:r>
          </w:p>
        </w:tc>
        <w:tc>
          <w:tcPr>
            <w:tcW w:w="5707" w:type="dxa"/>
            <w:noWrap w:val="0"/>
            <w:tcMar>
              <w:top w:w="28" w:type="dxa"/>
              <w:left w:w="57" w:type="dxa"/>
              <w:bottom w:w="28" w:type="dxa"/>
              <w:right w:w="57" w:type="dxa"/>
            </w:tcMar>
            <w:vAlign w:val="center"/>
          </w:tcPr>
          <w:p w14:paraId="3D12B0E9">
            <w:pPr>
              <w:adjustRightInd w:val="0"/>
              <w:snapToGrid w:val="0"/>
              <w:spacing w:line="320" w:lineRule="exact"/>
              <w:rPr>
                <w:rFonts w:ascii="Times New Roman" w:hAnsi="Times New Roman" w:eastAsia="仿宋_GB2312"/>
                <w:color w:val="000000"/>
                <w:sz w:val="24"/>
              </w:rPr>
            </w:pPr>
            <w:r>
              <w:rPr>
                <w:rFonts w:ascii="Times New Roman" w:hAnsi="Times New Roman" w:eastAsia="仿宋_GB2312"/>
                <w:color w:val="000000"/>
                <w:sz w:val="24"/>
              </w:rPr>
              <w:t>本文件规定了用于粘固、垫底或衬层、修复和牙齿桩核制作的树脂改性水门汀的要求，描述了相应的试验方法。本文件适用于通过多种反应（包括酸碱反应和聚合反应）联合实现固化的树脂改性水基水门汀。例如，传统的聚链烯酸盐玻璃离子水门汀通常是由可释放离子的铝硅酸盐玻璃与聚链烯酸在有水环境中反应生成。本文件涉及的水门汀通常能够通过水基酸碱反应而固化，也能够通过聚合反应而固化。</w:t>
            </w:r>
          </w:p>
        </w:tc>
        <w:tc>
          <w:tcPr>
            <w:tcW w:w="1566" w:type="dxa"/>
            <w:noWrap w:val="0"/>
            <w:tcMar>
              <w:top w:w="28" w:type="dxa"/>
              <w:left w:w="57" w:type="dxa"/>
              <w:bottom w:w="28" w:type="dxa"/>
              <w:right w:w="57" w:type="dxa"/>
            </w:tcMar>
            <w:vAlign w:val="center"/>
          </w:tcPr>
          <w:p w14:paraId="7B75A6E0">
            <w:pPr>
              <w:adjustRightInd w:val="0"/>
              <w:snapToGrid w:val="0"/>
              <w:spacing w:line="320" w:lineRule="exact"/>
              <w:rPr>
                <w:rFonts w:ascii="Times New Roman" w:hAnsi="Times New Roman" w:eastAsia="仿宋_GB2312"/>
                <w:color w:val="000000"/>
                <w:sz w:val="24"/>
              </w:rPr>
            </w:pPr>
            <w:r>
              <w:rPr>
                <w:rFonts w:ascii="Times New Roman" w:hAnsi="Times New Roman" w:eastAsia="仿宋_GB2312"/>
                <w:color w:val="000000"/>
                <w:sz w:val="24"/>
              </w:rPr>
              <w:t>2027年10月15日</w:t>
            </w:r>
          </w:p>
        </w:tc>
      </w:tr>
      <w:tr w14:paraId="47A60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0" w:hRule="atLeast"/>
          <w:jc w:val="center"/>
        </w:trPr>
        <w:tc>
          <w:tcPr>
            <w:tcW w:w="527" w:type="dxa"/>
            <w:noWrap w:val="0"/>
            <w:tcMar>
              <w:top w:w="28" w:type="dxa"/>
              <w:left w:w="57" w:type="dxa"/>
              <w:bottom w:w="28" w:type="dxa"/>
              <w:right w:w="57" w:type="dxa"/>
            </w:tcMar>
            <w:vAlign w:val="center"/>
          </w:tcPr>
          <w:p w14:paraId="75F16BE0">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2</w:t>
            </w:r>
          </w:p>
        </w:tc>
        <w:tc>
          <w:tcPr>
            <w:tcW w:w="1935" w:type="dxa"/>
            <w:noWrap w:val="0"/>
            <w:tcMar>
              <w:top w:w="28" w:type="dxa"/>
              <w:left w:w="57" w:type="dxa"/>
              <w:bottom w:w="28" w:type="dxa"/>
              <w:right w:w="57" w:type="dxa"/>
            </w:tcMar>
            <w:vAlign w:val="center"/>
          </w:tcPr>
          <w:p w14:paraId="504B6686">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YY 0790—2024</w:t>
            </w:r>
          </w:p>
        </w:tc>
        <w:tc>
          <w:tcPr>
            <w:tcW w:w="2225" w:type="dxa"/>
            <w:noWrap w:val="0"/>
            <w:tcMar>
              <w:top w:w="28" w:type="dxa"/>
              <w:left w:w="57" w:type="dxa"/>
              <w:bottom w:w="28" w:type="dxa"/>
              <w:right w:w="57" w:type="dxa"/>
            </w:tcMar>
            <w:vAlign w:val="center"/>
          </w:tcPr>
          <w:p w14:paraId="7538F806">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血液灌流设备</w:t>
            </w:r>
          </w:p>
        </w:tc>
        <w:tc>
          <w:tcPr>
            <w:tcW w:w="737" w:type="dxa"/>
            <w:noWrap w:val="0"/>
            <w:tcMar>
              <w:top w:w="28" w:type="dxa"/>
              <w:left w:w="57" w:type="dxa"/>
              <w:bottom w:w="28" w:type="dxa"/>
              <w:right w:w="57" w:type="dxa"/>
            </w:tcMar>
            <w:vAlign w:val="center"/>
          </w:tcPr>
          <w:p w14:paraId="71658A6B">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修订</w:t>
            </w:r>
          </w:p>
        </w:tc>
        <w:tc>
          <w:tcPr>
            <w:tcW w:w="2451" w:type="dxa"/>
            <w:noWrap w:val="0"/>
            <w:tcMar>
              <w:top w:w="28" w:type="dxa"/>
              <w:left w:w="57" w:type="dxa"/>
              <w:bottom w:w="28" w:type="dxa"/>
              <w:right w:w="57" w:type="dxa"/>
            </w:tcMar>
            <w:vAlign w:val="center"/>
          </w:tcPr>
          <w:p w14:paraId="1D8115F0">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YY 0790—2010</w:t>
            </w:r>
          </w:p>
        </w:tc>
        <w:tc>
          <w:tcPr>
            <w:tcW w:w="5707" w:type="dxa"/>
            <w:noWrap w:val="0"/>
            <w:tcMar>
              <w:top w:w="28" w:type="dxa"/>
              <w:left w:w="57" w:type="dxa"/>
              <w:bottom w:w="28" w:type="dxa"/>
              <w:right w:w="57" w:type="dxa"/>
            </w:tcMar>
            <w:vAlign w:val="center"/>
          </w:tcPr>
          <w:p w14:paraId="2CFF48CB">
            <w:pPr>
              <w:adjustRightInd w:val="0"/>
              <w:snapToGrid w:val="0"/>
              <w:spacing w:line="320" w:lineRule="exact"/>
              <w:rPr>
                <w:rFonts w:ascii="Times New Roman" w:hAnsi="Times New Roman" w:eastAsia="仿宋_GB2312"/>
                <w:color w:val="000000"/>
                <w:sz w:val="24"/>
              </w:rPr>
            </w:pPr>
            <w:r>
              <w:rPr>
                <w:rFonts w:ascii="Times New Roman" w:hAnsi="Times New Roman" w:eastAsia="仿宋_GB2312"/>
                <w:color w:val="000000"/>
                <w:sz w:val="24"/>
              </w:rPr>
              <w:t>本文件规定了血液灌流设备的要求，描述了相应的试验方法。本文件适用于3.1所定义的血液灌流设备。本文件不适用于：腹膜透析设备；离心式血液成分分离设备；连续性血液净化设备；血浆置换设备；血浆吸附设备；血液透析设备。</w:t>
            </w:r>
          </w:p>
        </w:tc>
        <w:tc>
          <w:tcPr>
            <w:tcW w:w="1566" w:type="dxa"/>
            <w:noWrap w:val="0"/>
            <w:tcMar>
              <w:top w:w="28" w:type="dxa"/>
              <w:left w:w="57" w:type="dxa"/>
              <w:bottom w:w="28" w:type="dxa"/>
              <w:right w:w="57" w:type="dxa"/>
            </w:tcMar>
            <w:vAlign w:val="center"/>
          </w:tcPr>
          <w:p w14:paraId="41175E58">
            <w:pPr>
              <w:adjustRightInd w:val="0"/>
              <w:snapToGrid w:val="0"/>
              <w:spacing w:line="320" w:lineRule="exact"/>
              <w:rPr>
                <w:rFonts w:ascii="Times New Roman" w:hAnsi="Times New Roman" w:eastAsia="仿宋_GB2312"/>
                <w:color w:val="000000"/>
                <w:sz w:val="24"/>
              </w:rPr>
            </w:pPr>
            <w:r>
              <w:rPr>
                <w:rFonts w:ascii="Times New Roman" w:hAnsi="Times New Roman" w:eastAsia="仿宋_GB2312"/>
                <w:color w:val="000000"/>
                <w:sz w:val="24"/>
              </w:rPr>
              <w:t>2027年10月15日</w:t>
            </w:r>
          </w:p>
        </w:tc>
      </w:tr>
      <w:tr w14:paraId="21A4F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jc w:val="center"/>
        </w:trPr>
        <w:tc>
          <w:tcPr>
            <w:tcW w:w="527" w:type="dxa"/>
            <w:noWrap w:val="0"/>
            <w:tcMar>
              <w:top w:w="28" w:type="dxa"/>
              <w:left w:w="57" w:type="dxa"/>
              <w:bottom w:w="28" w:type="dxa"/>
              <w:right w:w="57" w:type="dxa"/>
            </w:tcMar>
            <w:vAlign w:val="center"/>
          </w:tcPr>
          <w:p w14:paraId="3DAC3BFC">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3</w:t>
            </w:r>
          </w:p>
        </w:tc>
        <w:tc>
          <w:tcPr>
            <w:tcW w:w="1935" w:type="dxa"/>
            <w:noWrap w:val="0"/>
            <w:tcMar>
              <w:top w:w="28" w:type="dxa"/>
              <w:left w:w="57" w:type="dxa"/>
              <w:bottom w:w="28" w:type="dxa"/>
              <w:right w:w="57" w:type="dxa"/>
            </w:tcMar>
            <w:vAlign w:val="center"/>
          </w:tcPr>
          <w:p w14:paraId="172EA1D6">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YY 1105—2024</w:t>
            </w:r>
          </w:p>
        </w:tc>
        <w:tc>
          <w:tcPr>
            <w:tcW w:w="2225" w:type="dxa"/>
            <w:noWrap w:val="0"/>
            <w:tcMar>
              <w:top w:w="28" w:type="dxa"/>
              <w:left w:w="57" w:type="dxa"/>
              <w:bottom w:w="28" w:type="dxa"/>
              <w:right w:w="57" w:type="dxa"/>
            </w:tcMar>
            <w:vAlign w:val="center"/>
          </w:tcPr>
          <w:p w14:paraId="3C44CC8D">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电动洗胃机</w:t>
            </w:r>
          </w:p>
        </w:tc>
        <w:tc>
          <w:tcPr>
            <w:tcW w:w="737" w:type="dxa"/>
            <w:noWrap w:val="0"/>
            <w:tcMar>
              <w:top w:w="28" w:type="dxa"/>
              <w:left w:w="57" w:type="dxa"/>
              <w:bottom w:w="28" w:type="dxa"/>
              <w:right w:w="57" w:type="dxa"/>
            </w:tcMar>
            <w:vAlign w:val="center"/>
          </w:tcPr>
          <w:p w14:paraId="266917A1">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修订</w:t>
            </w:r>
          </w:p>
        </w:tc>
        <w:tc>
          <w:tcPr>
            <w:tcW w:w="2451" w:type="dxa"/>
            <w:noWrap w:val="0"/>
            <w:tcMar>
              <w:top w:w="28" w:type="dxa"/>
              <w:left w:w="57" w:type="dxa"/>
              <w:bottom w:w="28" w:type="dxa"/>
              <w:right w:w="57" w:type="dxa"/>
            </w:tcMar>
            <w:vAlign w:val="center"/>
          </w:tcPr>
          <w:p w14:paraId="4FD7178F">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YY 1105-2008</w:t>
            </w:r>
          </w:p>
        </w:tc>
        <w:tc>
          <w:tcPr>
            <w:tcW w:w="5707" w:type="dxa"/>
            <w:noWrap w:val="0"/>
            <w:tcMar>
              <w:top w:w="28" w:type="dxa"/>
              <w:left w:w="57" w:type="dxa"/>
              <w:bottom w:w="28" w:type="dxa"/>
              <w:right w:w="57" w:type="dxa"/>
            </w:tcMar>
            <w:vAlign w:val="center"/>
          </w:tcPr>
          <w:p w14:paraId="56D8464A">
            <w:pPr>
              <w:adjustRightInd w:val="0"/>
              <w:snapToGrid w:val="0"/>
              <w:spacing w:line="320" w:lineRule="exact"/>
              <w:rPr>
                <w:rFonts w:ascii="Times New Roman" w:hAnsi="Times New Roman" w:eastAsia="仿宋_GB2312"/>
                <w:color w:val="000000"/>
                <w:sz w:val="24"/>
              </w:rPr>
            </w:pPr>
            <w:r>
              <w:rPr>
                <w:rFonts w:ascii="Times New Roman" w:hAnsi="Times New Roman" w:eastAsia="仿宋_GB2312"/>
                <w:color w:val="000000"/>
                <w:sz w:val="24"/>
              </w:rPr>
              <w:t>本文件规定了电动洗胃机的安全和性能要求，描述了相应的试验方法。本文件适用于在医疗机构中为成人患者临床洗胃的电动洗胃机。</w:t>
            </w:r>
          </w:p>
        </w:tc>
        <w:tc>
          <w:tcPr>
            <w:tcW w:w="1566" w:type="dxa"/>
            <w:noWrap w:val="0"/>
            <w:tcMar>
              <w:top w:w="28" w:type="dxa"/>
              <w:left w:w="57" w:type="dxa"/>
              <w:bottom w:w="28" w:type="dxa"/>
              <w:right w:w="57" w:type="dxa"/>
            </w:tcMar>
            <w:vAlign w:val="center"/>
          </w:tcPr>
          <w:p w14:paraId="1F6AC1BB">
            <w:pPr>
              <w:adjustRightInd w:val="0"/>
              <w:snapToGrid w:val="0"/>
              <w:spacing w:line="320" w:lineRule="exact"/>
              <w:rPr>
                <w:rFonts w:ascii="Times New Roman" w:hAnsi="Times New Roman" w:eastAsia="仿宋_GB2312"/>
                <w:color w:val="000000"/>
                <w:sz w:val="24"/>
              </w:rPr>
            </w:pPr>
            <w:r>
              <w:rPr>
                <w:rFonts w:ascii="Times New Roman" w:hAnsi="Times New Roman" w:eastAsia="仿宋_GB2312"/>
                <w:color w:val="000000"/>
                <w:sz w:val="24"/>
              </w:rPr>
              <w:t>2027年10月15日</w:t>
            </w:r>
          </w:p>
        </w:tc>
      </w:tr>
      <w:tr w14:paraId="5F5FD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7" w:type="dxa"/>
            <w:noWrap w:val="0"/>
            <w:tcMar>
              <w:top w:w="28" w:type="dxa"/>
              <w:left w:w="57" w:type="dxa"/>
              <w:bottom w:w="28" w:type="dxa"/>
              <w:right w:w="57" w:type="dxa"/>
            </w:tcMar>
            <w:vAlign w:val="center"/>
          </w:tcPr>
          <w:p w14:paraId="1779DD92">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4</w:t>
            </w:r>
          </w:p>
        </w:tc>
        <w:tc>
          <w:tcPr>
            <w:tcW w:w="1935" w:type="dxa"/>
            <w:noWrap w:val="0"/>
            <w:tcMar>
              <w:top w:w="28" w:type="dxa"/>
              <w:left w:w="57" w:type="dxa"/>
              <w:bottom w:w="28" w:type="dxa"/>
              <w:right w:w="57" w:type="dxa"/>
            </w:tcMar>
            <w:vAlign w:val="center"/>
          </w:tcPr>
          <w:p w14:paraId="35D1354F">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YY/T 0107—2024</w:t>
            </w:r>
          </w:p>
        </w:tc>
        <w:tc>
          <w:tcPr>
            <w:tcW w:w="2225" w:type="dxa"/>
            <w:noWrap w:val="0"/>
            <w:tcMar>
              <w:top w:w="28" w:type="dxa"/>
              <w:left w:w="57" w:type="dxa"/>
              <w:bottom w:w="28" w:type="dxa"/>
              <w:right w:w="57" w:type="dxa"/>
            </w:tcMar>
            <w:vAlign w:val="center"/>
          </w:tcPr>
          <w:p w14:paraId="4EC09F20">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眼科A型超声测量仪</w:t>
            </w:r>
          </w:p>
        </w:tc>
        <w:tc>
          <w:tcPr>
            <w:tcW w:w="737" w:type="dxa"/>
            <w:noWrap w:val="0"/>
            <w:tcMar>
              <w:top w:w="28" w:type="dxa"/>
              <w:left w:w="57" w:type="dxa"/>
              <w:bottom w:w="28" w:type="dxa"/>
              <w:right w:w="57" w:type="dxa"/>
            </w:tcMar>
            <w:vAlign w:val="center"/>
          </w:tcPr>
          <w:p w14:paraId="3968778B">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修订</w:t>
            </w:r>
          </w:p>
        </w:tc>
        <w:tc>
          <w:tcPr>
            <w:tcW w:w="2451" w:type="dxa"/>
            <w:noWrap w:val="0"/>
            <w:tcMar>
              <w:top w:w="28" w:type="dxa"/>
              <w:left w:w="57" w:type="dxa"/>
              <w:bottom w:w="28" w:type="dxa"/>
              <w:right w:w="57" w:type="dxa"/>
            </w:tcMar>
            <w:vAlign w:val="center"/>
          </w:tcPr>
          <w:p w14:paraId="3329C056">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YY/T 0107—2015</w:t>
            </w:r>
          </w:p>
        </w:tc>
        <w:tc>
          <w:tcPr>
            <w:tcW w:w="5707" w:type="dxa"/>
            <w:noWrap w:val="0"/>
            <w:tcMar>
              <w:top w:w="28" w:type="dxa"/>
              <w:left w:w="57" w:type="dxa"/>
              <w:bottom w:w="28" w:type="dxa"/>
              <w:right w:w="57" w:type="dxa"/>
            </w:tcMar>
            <w:vAlign w:val="center"/>
          </w:tcPr>
          <w:p w14:paraId="2C35915C">
            <w:pPr>
              <w:adjustRightInd w:val="0"/>
              <w:snapToGrid w:val="0"/>
              <w:spacing w:line="320" w:lineRule="exact"/>
              <w:rPr>
                <w:rFonts w:ascii="Times New Roman" w:hAnsi="Times New Roman" w:eastAsia="仿宋_GB2312"/>
                <w:color w:val="000000"/>
                <w:sz w:val="24"/>
              </w:rPr>
            </w:pPr>
            <w:r>
              <w:rPr>
                <w:rFonts w:ascii="Times New Roman" w:hAnsi="Times New Roman" w:eastAsia="仿宋_GB2312"/>
                <w:color w:val="000000"/>
                <w:sz w:val="24"/>
              </w:rPr>
              <w:t>本文件规定了眼科A型超声测量仪的产品分类、要求，描述了相应的试验方法。本文件适用于采用A型显示的眼科超声测量仪，该产品主要用于眼科角膜厚度和眼轴长度的测量。</w:t>
            </w:r>
          </w:p>
        </w:tc>
        <w:tc>
          <w:tcPr>
            <w:tcW w:w="1566" w:type="dxa"/>
            <w:noWrap w:val="0"/>
            <w:tcMar>
              <w:top w:w="28" w:type="dxa"/>
              <w:left w:w="57" w:type="dxa"/>
              <w:bottom w:w="28" w:type="dxa"/>
              <w:right w:w="57" w:type="dxa"/>
            </w:tcMar>
            <w:vAlign w:val="center"/>
          </w:tcPr>
          <w:p w14:paraId="60690219">
            <w:pPr>
              <w:adjustRightInd w:val="0"/>
              <w:snapToGrid w:val="0"/>
              <w:spacing w:line="320" w:lineRule="exact"/>
              <w:rPr>
                <w:rFonts w:ascii="Times New Roman" w:hAnsi="Times New Roman" w:eastAsia="仿宋_GB2312"/>
                <w:color w:val="000000"/>
                <w:sz w:val="24"/>
              </w:rPr>
            </w:pPr>
            <w:r>
              <w:rPr>
                <w:rFonts w:ascii="Times New Roman" w:hAnsi="Times New Roman" w:eastAsia="仿宋_GB2312"/>
                <w:color w:val="000000"/>
                <w:sz w:val="24"/>
              </w:rPr>
              <w:t>2025年10月15日</w:t>
            </w:r>
          </w:p>
        </w:tc>
      </w:tr>
      <w:tr w14:paraId="70860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9" w:hRule="atLeast"/>
          <w:jc w:val="center"/>
        </w:trPr>
        <w:tc>
          <w:tcPr>
            <w:tcW w:w="527" w:type="dxa"/>
            <w:noWrap w:val="0"/>
            <w:tcMar>
              <w:top w:w="28" w:type="dxa"/>
              <w:left w:w="57" w:type="dxa"/>
              <w:bottom w:w="28" w:type="dxa"/>
              <w:right w:w="57" w:type="dxa"/>
            </w:tcMar>
            <w:vAlign w:val="center"/>
          </w:tcPr>
          <w:p w14:paraId="7B1FA5E4">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5</w:t>
            </w:r>
          </w:p>
        </w:tc>
        <w:tc>
          <w:tcPr>
            <w:tcW w:w="1935" w:type="dxa"/>
            <w:noWrap w:val="0"/>
            <w:tcMar>
              <w:top w:w="28" w:type="dxa"/>
              <w:left w:w="57" w:type="dxa"/>
              <w:bottom w:w="28" w:type="dxa"/>
              <w:right w:w="57" w:type="dxa"/>
            </w:tcMar>
            <w:vAlign w:val="center"/>
          </w:tcPr>
          <w:p w14:paraId="662BB925">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YY/T 0109—2024</w:t>
            </w:r>
          </w:p>
        </w:tc>
        <w:tc>
          <w:tcPr>
            <w:tcW w:w="2225" w:type="dxa"/>
            <w:noWrap w:val="0"/>
            <w:tcMar>
              <w:top w:w="28" w:type="dxa"/>
              <w:left w:w="57" w:type="dxa"/>
              <w:bottom w:w="28" w:type="dxa"/>
              <w:right w:w="57" w:type="dxa"/>
            </w:tcMar>
            <w:vAlign w:val="center"/>
          </w:tcPr>
          <w:p w14:paraId="501E9B09">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医用超声雾化器</w:t>
            </w:r>
          </w:p>
        </w:tc>
        <w:tc>
          <w:tcPr>
            <w:tcW w:w="737" w:type="dxa"/>
            <w:noWrap w:val="0"/>
            <w:tcMar>
              <w:top w:w="28" w:type="dxa"/>
              <w:left w:w="57" w:type="dxa"/>
              <w:bottom w:w="28" w:type="dxa"/>
              <w:right w:w="57" w:type="dxa"/>
            </w:tcMar>
            <w:vAlign w:val="center"/>
          </w:tcPr>
          <w:p w14:paraId="573C4012">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修订</w:t>
            </w:r>
          </w:p>
        </w:tc>
        <w:tc>
          <w:tcPr>
            <w:tcW w:w="2451" w:type="dxa"/>
            <w:noWrap w:val="0"/>
            <w:tcMar>
              <w:top w:w="28" w:type="dxa"/>
              <w:left w:w="57" w:type="dxa"/>
              <w:bottom w:w="28" w:type="dxa"/>
              <w:right w:w="57" w:type="dxa"/>
            </w:tcMar>
            <w:vAlign w:val="center"/>
          </w:tcPr>
          <w:p w14:paraId="51883037">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YY/T 0109—2013</w:t>
            </w:r>
          </w:p>
        </w:tc>
        <w:tc>
          <w:tcPr>
            <w:tcW w:w="5707" w:type="dxa"/>
            <w:noWrap w:val="0"/>
            <w:tcMar>
              <w:top w:w="28" w:type="dxa"/>
              <w:left w:w="57" w:type="dxa"/>
              <w:bottom w:w="28" w:type="dxa"/>
              <w:right w:w="57" w:type="dxa"/>
            </w:tcMar>
            <w:vAlign w:val="center"/>
          </w:tcPr>
          <w:p w14:paraId="1C8C6B8F">
            <w:pPr>
              <w:adjustRightInd w:val="0"/>
              <w:snapToGrid w:val="0"/>
              <w:spacing w:line="320" w:lineRule="exact"/>
              <w:rPr>
                <w:rFonts w:ascii="Times New Roman" w:hAnsi="Times New Roman" w:eastAsia="仿宋_GB2312"/>
                <w:color w:val="000000"/>
                <w:sz w:val="24"/>
              </w:rPr>
            </w:pPr>
            <w:r>
              <w:rPr>
                <w:rFonts w:ascii="Times New Roman" w:hAnsi="Times New Roman" w:eastAsia="仿宋_GB2312"/>
                <w:color w:val="000000"/>
                <w:sz w:val="24"/>
              </w:rPr>
              <w:t>本文件规定了医用超声雾化器的要求，描述了相应的试验方法。本文件适用于利用超声波对液态药物进行雾化的医用超声雾化器。</w:t>
            </w:r>
          </w:p>
        </w:tc>
        <w:tc>
          <w:tcPr>
            <w:tcW w:w="1566" w:type="dxa"/>
            <w:noWrap w:val="0"/>
            <w:tcMar>
              <w:top w:w="28" w:type="dxa"/>
              <w:left w:w="57" w:type="dxa"/>
              <w:bottom w:w="28" w:type="dxa"/>
              <w:right w:w="57" w:type="dxa"/>
            </w:tcMar>
            <w:vAlign w:val="center"/>
          </w:tcPr>
          <w:p w14:paraId="59B15460">
            <w:pPr>
              <w:adjustRightInd w:val="0"/>
              <w:snapToGrid w:val="0"/>
              <w:spacing w:line="320" w:lineRule="exact"/>
              <w:rPr>
                <w:rFonts w:ascii="Times New Roman" w:hAnsi="Times New Roman" w:eastAsia="仿宋_GB2312"/>
                <w:color w:val="000000"/>
                <w:sz w:val="24"/>
              </w:rPr>
            </w:pPr>
            <w:r>
              <w:rPr>
                <w:rFonts w:ascii="Times New Roman" w:hAnsi="Times New Roman" w:eastAsia="仿宋_GB2312"/>
                <w:color w:val="000000"/>
                <w:sz w:val="24"/>
              </w:rPr>
              <w:t>2025年10月15日</w:t>
            </w:r>
          </w:p>
        </w:tc>
      </w:tr>
      <w:tr w14:paraId="10E54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6" w:hRule="atLeast"/>
          <w:jc w:val="center"/>
        </w:trPr>
        <w:tc>
          <w:tcPr>
            <w:tcW w:w="527" w:type="dxa"/>
            <w:noWrap w:val="0"/>
            <w:tcMar>
              <w:top w:w="28" w:type="dxa"/>
              <w:left w:w="57" w:type="dxa"/>
              <w:bottom w:w="28" w:type="dxa"/>
              <w:right w:w="57" w:type="dxa"/>
            </w:tcMar>
            <w:vAlign w:val="center"/>
          </w:tcPr>
          <w:p w14:paraId="4B7CB8B8">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6</w:t>
            </w:r>
          </w:p>
        </w:tc>
        <w:tc>
          <w:tcPr>
            <w:tcW w:w="1935" w:type="dxa"/>
            <w:noWrap w:val="0"/>
            <w:tcMar>
              <w:top w:w="28" w:type="dxa"/>
              <w:left w:w="57" w:type="dxa"/>
              <w:bottom w:w="28" w:type="dxa"/>
              <w:right w:w="57" w:type="dxa"/>
            </w:tcMar>
            <w:vAlign w:val="center"/>
          </w:tcPr>
          <w:p w14:paraId="5685CC4E">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YY/T 0294.1—2024</w:t>
            </w:r>
          </w:p>
        </w:tc>
        <w:tc>
          <w:tcPr>
            <w:tcW w:w="2225" w:type="dxa"/>
            <w:noWrap w:val="0"/>
            <w:tcMar>
              <w:top w:w="28" w:type="dxa"/>
              <w:left w:w="57" w:type="dxa"/>
              <w:bottom w:w="28" w:type="dxa"/>
              <w:right w:w="57" w:type="dxa"/>
            </w:tcMar>
            <w:vAlign w:val="center"/>
          </w:tcPr>
          <w:p w14:paraId="25C825D8">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外科器械 材料 第1部分： 金属材料</w:t>
            </w:r>
          </w:p>
        </w:tc>
        <w:tc>
          <w:tcPr>
            <w:tcW w:w="737" w:type="dxa"/>
            <w:noWrap w:val="0"/>
            <w:tcMar>
              <w:top w:w="28" w:type="dxa"/>
              <w:left w:w="57" w:type="dxa"/>
              <w:bottom w:w="28" w:type="dxa"/>
              <w:right w:w="57" w:type="dxa"/>
            </w:tcMar>
            <w:vAlign w:val="center"/>
          </w:tcPr>
          <w:p w14:paraId="3CDF1644">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修订</w:t>
            </w:r>
          </w:p>
        </w:tc>
        <w:tc>
          <w:tcPr>
            <w:tcW w:w="2451" w:type="dxa"/>
            <w:noWrap w:val="0"/>
            <w:tcMar>
              <w:top w:w="28" w:type="dxa"/>
              <w:left w:w="57" w:type="dxa"/>
              <w:bottom w:w="28" w:type="dxa"/>
              <w:right w:w="57" w:type="dxa"/>
            </w:tcMar>
            <w:vAlign w:val="center"/>
          </w:tcPr>
          <w:p w14:paraId="5AB14310">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YY/T 0294.1—2016</w:t>
            </w:r>
          </w:p>
        </w:tc>
        <w:tc>
          <w:tcPr>
            <w:tcW w:w="5707" w:type="dxa"/>
            <w:noWrap w:val="0"/>
            <w:tcMar>
              <w:top w:w="28" w:type="dxa"/>
              <w:left w:w="57" w:type="dxa"/>
              <w:bottom w:w="28" w:type="dxa"/>
              <w:right w:w="57" w:type="dxa"/>
            </w:tcMar>
            <w:vAlign w:val="center"/>
          </w:tcPr>
          <w:p w14:paraId="20FDED8D">
            <w:pPr>
              <w:adjustRightInd w:val="0"/>
              <w:snapToGrid w:val="0"/>
              <w:spacing w:line="320" w:lineRule="exact"/>
              <w:rPr>
                <w:rFonts w:ascii="Times New Roman" w:hAnsi="Times New Roman" w:eastAsia="仿宋_GB2312"/>
                <w:color w:val="000000"/>
                <w:sz w:val="24"/>
              </w:rPr>
            </w:pPr>
            <w:r>
              <w:rPr>
                <w:rFonts w:ascii="Times New Roman" w:hAnsi="Times New Roman" w:eastAsia="仿宋_GB2312"/>
                <w:color w:val="000000"/>
                <w:sz w:val="24"/>
              </w:rPr>
              <w:t>本文件给出了制造各种标准外科器械和零部件的常规不锈钢材料、硬质合金、钛及钛合金示例以及常用材料的牌号及硬度范围信息。本文件适用于制造外科器械所用金属材料的选择。外科器械包括但不限于普通外科、矫形外科及口腔科器械。</w:t>
            </w:r>
          </w:p>
        </w:tc>
        <w:tc>
          <w:tcPr>
            <w:tcW w:w="1566" w:type="dxa"/>
            <w:noWrap w:val="0"/>
            <w:tcMar>
              <w:top w:w="28" w:type="dxa"/>
              <w:left w:w="57" w:type="dxa"/>
              <w:bottom w:w="28" w:type="dxa"/>
              <w:right w:w="57" w:type="dxa"/>
            </w:tcMar>
            <w:vAlign w:val="center"/>
          </w:tcPr>
          <w:p w14:paraId="3FDA52DD">
            <w:pPr>
              <w:adjustRightInd w:val="0"/>
              <w:snapToGrid w:val="0"/>
              <w:spacing w:line="320" w:lineRule="exact"/>
              <w:rPr>
                <w:rFonts w:ascii="Times New Roman" w:hAnsi="Times New Roman" w:eastAsia="仿宋_GB2312"/>
                <w:color w:val="000000"/>
                <w:sz w:val="24"/>
              </w:rPr>
            </w:pPr>
            <w:r>
              <w:rPr>
                <w:rFonts w:ascii="Times New Roman" w:hAnsi="Times New Roman" w:eastAsia="仿宋_GB2312"/>
                <w:color w:val="000000"/>
                <w:sz w:val="24"/>
              </w:rPr>
              <w:t>2025年10月15日</w:t>
            </w:r>
          </w:p>
        </w:tc>
      </w:tr>
      <w:tr w14:paraId="0EE1D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9" w:hRule="atLeast"/>
          <w:jc w:val="center"/>
        </w:trPr>
        <w:tc>
          <w:tcPr>
            <w:tcW w:w="527" w:type="dxa"/>
            <w:noWrap w:val="0"/>
            <w:tcMar>
              <w:top w:w="28" w:type="dxa"/>
              <w:left w:w="57" w:type="dxa"/>
              <w:bottom w:w="28" w:type="dxa"/>
              <w:right w:w="57" w:type="dxa"/>
            </w:tcMar>
            <w:vAlign w:val="center"/>
          </w:tcPr>
          <w:p w14:paraId="4D21B1AC">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7</w:t>
            </w:r>
          </w:p>
        </w:tc>
        <w:tc>
          <w:tcPr>
            <w:tcW w:w="1935" w:type="dxa"/>
            <w:noWrap w:val="0"/>
            <w:tcMar>
              <w:top w:w="28" w:type="dxa"/>
              <w:left w:w="57" w:type="dxa"/>
              <w:bottom w:w="28" w:type="dxa"/>
              <w:right w:w="57" w:type="dxa"/>
            </w:tcMar>
            <w:vAlign w:val="center"/>
          </w:tcPr>
          <w:p w14:paraId="2068DB7A">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YY/T 0339—2024</w:t>
            </w:r>
          </w:p>
        </w:tc>
        <w:tc>
          <w:tcPr>
            <w:tcW w:w="2225" w:type="dxa"/>
            <w:noWrap w:val="0"/>
            <w:tcMar>
              <w:top w:w="28" w:type="dxa"/>
              <w:left w:w="57" w:type="dxa"/>
              <w:bottom w:w="28" w:type="dxa"/>
              <w:right w:w="57" w:type="dxa"/>
            </w:tcMar>
            <w:vAlign w:val="center"/>
          </w:tcPr>
          <w:p w14:paraId="6CEFD271">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呼吸道用吸引导管</w:t>
            </w:r>
          </w:p>
        </w:tc>
        <w:tc>
          <w:tcPr>
            <w:tcW w:w="737" w:type="dxa"/>
            <w:noWrap w:val="0"/>
            <w:tcMar>
              <w:top w:w="28" w:type="dxa"/>
              <w:left w:w="57" w:type="dxa"/>
              <w:bottom w:w="28" w:type="dxa"/>
              <w:right w:w="57" w:type="dxa"/>
            </w:tcMar>
            <w:vAlign w:val="center"/>
          </w:tcPr>
          <w:p w14:paraId="01D3384E">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修订</w:t>
            </w:r>
          </w:p>
        </w:tc>
        <w:tc>
          <w:tcPr>
            <w:tcW w:w="2451" w:type="dxa"/>
            <w:noWrap w:val="0"/>
            <w:tcMar>
              <w:top w:w="28" w:type="dxa"/>
              <w:left w:w="57" w:type="dxa"/>
              <w:bottom w:w="28" w:type="dxa"/>
              <w:right w:w="57" w:type="dxa"/>
            </w:tcMar>
            <w:vAlign w:val="center"/>
          </w:tcPr>
          <w:p w14:paraId="0E336EB5">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YY/T 0339—2019</w:t>
            </w:r>
          </w:p>
        </w:tc>
        <w:tc>
          <w:tcPr>
            <w:tcW w:w="5707" w:type="dxa"/>
            <w:noWrap w:val="0"/>
            <w:tcMar>
              <w:top w:w="28" w:type="dxa"/>
              <w:left w:w="57" w:type="dxa"/>
              <w:bottom w:w="28" w:type="dxa"/>
              <w:right w:w="57" w:type="dxa"/>
            </w:tcMar>
            <w:vAlign w:val="center"/>
          </w:tcPr>
          <w:p w14:paraId="7E52806A">
            <w:pPr>
              <w:adjustRightInd w:val="0"/>
              <w:snapToGrid w:val="0"/>
              <w:spacing w:line="320" w:lineRule="exact"/>
              <w:rPr>
                <w:rFonts w:ascii="Times New Roman" w:hAnsi="Times New Roman" w:eastAsia="仿宋_GB2312"/>
                <w:color w:val="000000"/>
                <w:sz w:val="24"/>
              </w:rPr>
            </w:pPr>
            <w:r>
              <w:rPr>
                <w:rFonts w:ascii="Times New Roman" w:hAnsi="Times New Roman" w:eastAsia="仿宋_GB2312"/>
                <w:color w:val="000000"/>
                <w:sz w:val="24"/>
              </w:rPr>
              <w:t>本文件规定了呼吸道用吸引导管的尺寸和要求。本文件适用于由柔性材料制成的，预期用于呼吸道吸引的开放式和封闭式吸引导管。本文件不适用于旨在与易燃麻醉气体或试剂、激光或电外科手术设备一起使用的吸引导管。</w:t>
            </w:r>
          </w:p>
        </w:tc>
        <w:tc>
          <w:tcPr>
            <w:tcW w:w="1566" w:type="dxa"/>
            <w:noWrap w:val="0"/>
            <w:tcMar>
              <w:top w:w="28" w:type="dxa"/>
              <w:left w:w="57" w:type="dxa"/>
              <w:bottom w:w="28" w:type="dxa"/>
              <w:right w:w="57" w:type="dxa"/>
            </w:tcMar>
            <w:vAlign w:val="center"/>
          </w:tcPr>
          <w:p w14:paraId="6550DB0E">
            <w:pPr>
              <w:adjustRightInd w:val="0"/>
              <w:snapToGrid w:val="0"/>
              <w:spacing w:line="320" w:lineRule="exact"/>
              <w:rPr>
                <w:rFonts w:ascii="Times New Roman" w:hAnsi="Times New Roman" w:eastAsia="仿宋_GB2312"/>
                <w:color w:val="000000"/>
                <w:sz w:val="24"/>
              </w:rPr>
            </w:pPr>
            <w:r>
              <w:rPr>
                <w:rFonts w:ascii="Times New Roman" w:hAnsi="Times New Roman" w:eastAsia="仿宋_GB2312"/>
                <w:color w:val="000000"/>
                <w:sz w:val="24"/>
              </w:rPr>
              <w:t>2025年10月15日</w:t>
            </w:r>
          </w:p>
        </w:tc>
      </w:tr>
      <w:tr w14:paraId="0AAFC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3" w:hRule="atLeast"/>
          <w:jc w:val="center"/>
        </w:trPr>
        <w:tc>
          <w:tcPr>
            <w:tcW w:w="527" w:type="dxa"/>
            <w:noWrap w:val="0"/>
            <w:tcMar>
              <w:top w:w="28" w:type="dxa"/>
              <w:left w:w="57" w:type="dxa"/>
              <w:bottom w:w="28" w:type="dxa"/>
              <w:right w:w="57" w:type="dxa"/>
            </w:tcMar>
            <w:vAlign w:val="center"/>
          </w:tcPr>
          <w:p w14:paraId="70CE6C9C">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8</w:t>
            </w:r>
          </w:p>
        </w:tc>
        <w:tc>
          <w:tcPr>
            <w:tcW w:w="1935" w:type="dxa"/>
            <w:noWrap w:val="0"/>
            <w:tcMar>
              <w:top w:w="28" w:type="dxa"/>
              <w:left w:w="57" w:type="dxa"/>
              <w:bottom w:w="28" w:type="dxa"/>
              <w:right w:w="57" w:type="dxa"/>
            </w:tcMar>
            <w:vAlign w:val="center"/>
          </w:tcPr>
          <w:p w14:paraId="66094E9B">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YY/T 0576—2024</w:t>
            </w:r>
          </w:p>
        </w:tc>
        <w:tc>
          <w:tcPr>
            <w:tcW w:w="2225" w:type="dxa"/>
            <w:noWrap w:val="0"/>
            <w:tcMar>
              <w:top w:w="28" w:type="dxa"/>
              <w:left w:w="57" w:type="dxa"/>
              <w:bottom w:w="28" w:type="dxa"/>
              <w:right w:w="57" w:type="dxa"/>
            </w:tcMar>
            <w:vAlign w:val="center"/>
          </w:tcPr>
          <w:p w14:paraId="53BCAB7D">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哥伦比亚血琼脂培养基</w:t>
            </w:r>
          </w:p>
        </w:tc>
        <w:tc>
          <w:tcPr>
            <w:tcW w:w="737" w:type="dxa"/>
            <w:noWrap w:val="0"/>
            <w:tcMar>
              <w:top w:w="28" w:type="dxa"/>
              <w:left w:w="57" w:type="dxa"/>
              <w:bottom w:w="28" w:type="dxa"/>
              <w:right w:w="57" w:type="dxa"/>
            </w:tcMar>
            <w:vAlign w:val="center"/>
          </w:tcPr>
          <w:p w14:paraId="58CC5AF5">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修订</w:t>
            </w:r>
          </w:p>
        </w:tc>
        <w:tc>
          <w:tcPr>
            <w:tcW w:w="2451" w:type="dxa"/>
            <w:noWrap w:val="0"/>
            <w:tcMar>
              <w:top w:w="28" w:type="dxa"/>
              <w:left w:w="57" w:type="dxa"/>
              <w:bottom w:w="28" w:type="dxa"/>
              <w:right w:w="57" w:type="dxa"/>
            </w:tcMar>
            <w:vAlign w:val="center"/>
          </w:tcPr>
          <w:p w14:paraId="78D50209">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YY/T 0576—2005</w:t>
            </w:r>
          </w:p>
        </w:tc>
        <w:tc>
          <w:tcPr>
            <w:tcW w:w="5707" w:type="dxa"/>
            <w:noWrap w:val="0"/>
            <w:tcMar>
              <w:top w:w="28" w:type="dxa"/>
              <w:left w:w="57" w:type="dxa"/>
              <w:bottom w:w="28" w:type="dxa"/>
              <w:right w:w="57" w:type="dxa"/>
            </w:tcMar>
            <w:vAlign w:val="center"/>
          </w:tcPr>
          <w:p w14:paraId="7AA97519">
            <w:pPr>
              <w:adjustRightInd w:val="0"/>
              <w:snapToGrid w:val="0"/>
              <w:spacing w:line="320" w:lineRule="exact"/>
              <w:rPr>
                <w:rFonts w:ascii="Times New Roman" w:hAnsi="Times New Roman" w:eastAsia="仿宋_GB2312"/>
                <w:color w:val="000000"/>
                <w:sz w:val="24"/>
              </w:rPr>
            </w:pPr>
            <w:r>
              <w:rPr>
                <w:rFonts w:ascii="Times New Roman" w:hAnsi="Times New Roman" w:eastAsia="仿宋_GB2312"/>
                <w:color w:val="000000"/>
                <w:sz w:val="24"/>
              </w:rPr>
              <w:t>本文件规定了哥伦比亚血琼脂培养基的主要成分和制法、要求、标签和使用说明、包装、运输和贮存，描述了相应的试验方法。本文件适用于哥伦比亚血琼脂培养基，包括干粉培养基和平板培养基。</w:t>
            </w:r>
          </w:p>
        </w:tc>
        <w:tc>
          <w:tcPr>
            <w:tcW w:w="1566" w:type="dxa"/>
            <w:noWrap w:val="0"/>
            <w:tcMar>
              <w:top w:w="28" w:type="dxa"/>
              <w:left w:w="57" w:type="dxa"/>
              <w:bottom w:w="28" w:type="dxa"/>
              <w:right w:w="57" w:type="dxa"/>
            </w:tcMar>
            <w:vAlign w:val="center"/>
          </w:tcPr>
          <w:p w14:paraId="7C38D236">
            <w:pPr>
              <w:adjustRightInd w:val="0"/>
              <w:snapToGrid w:val="0"/>
              <w:spacing w:line="320" w:lineRule="exact"/>
              <w:rPr>
                <w:rFonts w:ascii="Times New Roman" w:hAnsi="Times New Roman" w:eastAsia="仿宋_GB2312"/>
                <w:color w:val="000000"/>
                <w:sz w:val="24"/>
              </w:rPr>
            </w:pPr>
            <w:r>
              <w:rPr>
                <w:rFonts w:ascii="Times New Roman" w:hAnsi="Times New Roman" w:eastAsia="仿宋_GB2312"/>
                <w:color w:val="000000"/>
                <w:sz w:val="24"/>
              </w:rPr>
              <w:t>2025年10月15日</w:t>
            </w:r>
          </w:p>
        </w:tc>
      </w:tr>
      <w:tr w14:paraId="2CAA1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5" w:hRule="atLeast"/>
          <w:jc w:val="center"/>
        </w:trPr>
        <w:tc>
          <w:tcPr>
            <w:tcW w:w="527" w:type="dxa"/>
            <w:noWrap w:val="0"/>
            <w:tcMar>
              <w:top w:w="28" w:type="dxa"/>
              <w:left w:w="57" w:type="dxa"/>
              <w:bottom w:w="28" w:type="dxa"/>
              <w:right w:w="57" w:type="dxa"/>
            </w:tcMar>
            <w:vAlign w:val="center"/>
          </w:tcPr>
          <w:p w14:paraId="5FDD0AF4">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9</w:t>
            </w:r>
          </w:p>
        </w:tc>
        <w:tc>
          <w:tcPr>
            <w:tcW w:w="1935" w:type="dxa"/>
            <w:noWrap w:val="0"/>
            <w:tcMar>
              <w:top w:w="28" w:type="dxa"/>
              <w:left w:w="57" w:type="dxa"/>
              <w:bottom w:w="28" w:type="dxa"/>
              <w:right w:w="57" w:type="dxa"/>
            </w:tcMar>
            <w:vAlign w:val="center"/>
          </w:tcPr>
          <w:p w14:paraId="0C3E1887">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YY/T 0581.2—2024</w:t>
            </w:r>
          </w:p>
        </w:tc>
        <w:tc>
          <w:tcPr>
            <w:tcW w:w="2225" w:type="dxa"/>
            <w:noWrap w:val="0"/>
            <w:tcMar>
              <w:top w:w="28" w:type="dxa"/>
              <w:left w:w="57" w:type="dxa"/>
              <w:bottom w:w="28" w:type="dxa"/>
              <w:right w:w="57" w:type="dxa"/>
            </w:tcMar>
            <w:vAlign w:val="center"/>
          </w:tcPr>
          <w:p w14:paraId="37DA705C">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输液连接件 第2部分：无针连接件</w:t>
            </w:r>
          </w:p>
        </w:tc>
        <w:tc>
          <w:tcPr>
            <w:tcW w:w="737" w:type="dxa"/>
            <w:noWrap w:val="0"/>
            <w:tcMar>
              <w:top w:w="28" w:type="dxa"/>
              <w:left w:w="57" w:type="dxa"/>
              <w:bottom w:w="28" w:type="dxa"/>
              <w:right w:w="57" w:type="dxa"/>
            </w:tcMar>
            <w:vAlign w:val="center"/>
          </w:tcPr>
          <w:p w14:paraId="65AEFD16">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修订</w:t>
            </w:r>
          </w:p>
        </w:tc>
        <w:tc>
          <w:tcPr>
            <w:tcW w:w="2451" w:type="dxa"/>
            <w:noWrap w:val="0"/>
            <w:tcMar>
              <w:top w:w="28" w:type="dxa"/>
              <w:left w:w="57" w:type="dxa"/>
              <w:bottom w:w="28" w:type="dxa"/>
              <w:right w:w="57" w:type="dxa"/>
            </w:tcMar>
            <w:vAlign w:val="center"/>
          </w:tcPr>
          <w:p w14:paraId="4FC4073D">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YY/T 0581.2—2011</w:t>
            </w:r>
          </w:p>
        </w:tc>
        <w:tc>
          <w:tcPr>
            <w:tcW w:w="5707" w:type="dxa"/>
            <w:noWrap w:val="0"/>
            <w:tcMar>
              <w:top w:w="28" w:type="dxa"/>
              <w:left w:w="57" w:type="dxa"/>
              <w:bottom w:w="28" w:type="dxa"/>
              <w:right w:w="57" w:type="dxa"/>
            </w:tcMar>
            <w:vAlign w:val="center"/>
          </w:tcPr>
          <w:p w14:paraId="440B451B">
            <w:pPr>
              <w:adjustRightInd w:val="0"/>
              <w:snapToGrid w:val="0"/>
              <w:spacing w:line="320" w:lineRule="exact"/>
              <w:rPr>
                <w:rFonts w:ascii="Times New Roman" w:hAnsi="Times New Roman" w:eastAsia="仿宋_GB2312"/>
                <w:color w:val="000000"/>
                <w:sz w:val="24"/>
              </w:rPr>
            </w:pPr>
            <w:r>
              <w:rPr>
                <w:rFonts w:ascii="Times New Roman" w:hAnsi="Times New Roman" w:eastAsia="仿宋_GB2312"/>
                <w:color w:val="000000"/>
                <w:sz w:val="24"/>
              </w:rPr>
              <w:t>本文件规定了一次性使用无针连接件的要求，描述了相应的试验方法。本文件适用于以非穿刺为使用形式的自闭合式一次性使用无针连接件。连接件与血管内留置器械（如静脉留置针）集成为一体供应的产品，可参照执行本文件。YY 0585.4规定的防回流阀不包括在本文件范围内。YY 0585.2中规定的开关不包括在本文件范围内。</w:t>
            </w:r>
          </w:p>
        </w:tc>
        <w:tc>
          <w:tcPr>
            <w:tcW w:w="1566" w:type="dxa"/>
            <w:noWrap w:val="0"/>
            <w:tcMar>
              <w:top w:w="28" w:type="dxa"/>
              <w:left w:w="57" w:type="dxa"/>
              <w:bottom w:w="28" w:type="dxa"/>
              <w:right w:w="57" w:type="dxa"/>
            </w:tcMar>
            <w:vAlign w:val="center"/>
          </w:tcPr>
          <w:p w14:paraId="079F4EDB">
            <w:pPr>
              <w:adjustRightInd w:val="0"/>
              <w:snapToGrid w:val="0"/>
              <w:spacing w:line="320" w:lineRule="exact"/>
              <w:rPr>
                <w:rFonts w:ascii="Times New Roman" w:hAnsi="Times New Roman" w:eastAsia="仿宋_GB2312"/>
                <w:color w:val="000000"/>
                <w:sz w:val="24"/>
              </w:rPr>
            </w:pPr>
            <w:r>
              <w:rPr>
                <w:rFonts w:ascii="Times New Roman" w:hAnsi="Times New Roman" w:eastAsia="仿宋_GB2312"/>
                <w:color w:val="000000"/>
                <w:sz w:val="24"/>
              </w:rPr>
              <w:t>2025年10月15日。</w:t>
            </w:r>
          </w:p>
        </w:tc>
      </w:tr>
      <w:tr w14:paraId="773DE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7" w:type="dxa"/>
            <w:noWrap w:val="0"/>
            <w:tcMar>
              <w:top w:w="28" w:type="dxa"/>
              <w:left w:w="57" w:type="dxa"/>
              <w:bottom w:w="28" w:type="dxa"/>
              <w:right w:w="57" w:type="dxa"/>
            </w:tcMar>
            <w:vAlign w:val="center"/>
          </w:tcPr>
          <w:p w14:paraId="45C026CF">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10</w:t>
            </w:r>
          </w:p>
        </w:tc>
        <w:tc>
          <w:tcPr>
            <w:tcW w:w="1935" w:type="dxa"/>
            <w:noWrap w:val="0"/>
            <w:tcMar>
              <w:top w:w="28" w:type="dxa"/>
              <w:left w:w="57" w:type="dxa"/>
              <w:bottom w:w="28" w:type="dxa"/>
              <w:right w:w="57" w:type="dxa"/>
            </w:tcMar>
            <w:vAlign w:val="center"/>
          </w:tcPr>
          <w:p w14:paraId="5D587BB5">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YY/T 0688.2—2024</w:t>
            </w:r>
          </w:p>
        </w:tc>
        <w:tc>
          <w:tcPr>
            <w:tcW w:w="2225" w:type="dxa"/>
            <w:noWrap w:val="0"/>
            <w:tcMar>
              <w:top w:w="28" w:type="dxa"/>
              <w:left w:w="57" w:type="dxa"/>
              <w:bottom w:w="28" w:type="dxa"/>
              <w:right w:w="57" w:type="dxa"/>
            </w:tcMar>
            <w:vAlign w:val="center"/>
          </w:tcPr>
          <w:p w14:paraId="42CFB9F4">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临床实验室检测和体外诊断系统 感染病原体敏感性试验与抗微生物药物敏感性试验设备的性能评价 第2部分：与肉汤微量稀释参考方法比对的抗微生物药物敏感性试验设备性能评价</w:t>
            </w:r>
          </w:p>
        </w:tc>
        <w:tc>
          <w:tcPr>
            <w:tcW w:w="737" w:type="dxa"/>
            <w:noWrap w:val="0"/>
            <w:tcMar>
              <w:top w:w="28" w:type="dxa"/>
              <w:left w:w="57" w:type="dxa"/>
              <w:bottom w:w="28" w:type="dxa"/>
              <w:right w:w="57" w:type="dxa"/>
            </w:tcMar>
            <w:vAlign w:val="center"/>
          </w:tcPr>
          <w:p w14:paraId="7D6CEA82">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修订</w:t>
            </w:r>
          </w:p>
        </w:tc>
        <w:tc>
          <w:tcPr>
            <w:tcW w:w="2451" w:type="dxa"/>
            <w:noWrap w:val="0"/>
            <w:tcMar>
              <w:top w:w="28" w:type="dxa"/>
              <w:left w:w="57" w:type="dxa"/>
              <w:bottom w:w="28" w:type="dxa"/>
              <w:right w:w="57" w:type="dxa"/>
            </w:tcMar>
            <w:vAlign w:val="center"/>
          </w:tcPr>
          <w:p w14:paraId="7F47B5AC">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YY/T 0688.2—2010</w:t>
            </w:r>
          </w:p>
        </w:tc>
        <w:tc>
          <w:tcPr>
            <w:tcW w:w="5707" w:type="dxa"/>
            <w:noWrap w:val="0"/>
            <w:tcMar>
              <w:top w:w="28" w:type="dxa"/>
              <w:left w:w="57" w:type="dxa"/>
              <w:bottom w:w="28" w:type="dxa"/>
              <w:right w:w="57" w:type="dxa"/>
            </w:tcMar>
            <w:vAlign w:val="center"/>
          </w:tcPr>
          <w:p w14:paraId="6D31ACB3">
            <w:pPr>
              <w:adjustRightInd w:val="0"/>
              <w:snapToGrid w:val="0"/>
              <w:spacing w:line="320" w:lineRule="exact"/>
              <w:rPr>
                <w:rFonts w:ascii="Times New Roman" w:hAnsi="Times New Roman" w:eastAsia="仿宋_GB2312"/>
                <w:color w:val="000000"/>
                <w:sz w:val="24"/>
              </w:rPr>
            </w:pPr>
            <w:r>
              <w:rPr>
                <w:rFonts w:ascii="Times New Roman" w:hAnsi="Times New Roman" w:eastAsia="仿宋_GB2312"/>
                <w:color w:val="000000"/>
                <w:sz w:val="24"/>
              </w:rPr>
              <w:t>本文件确立了抗微生物药物敏感性试验（AST）设备的可接受性能标准。这些设备在医学实验室用于测定细菌对抗微生物药物的最低抑菌浓度（MIC）。本文件规定了AST设备的要求和评价这些设备性能的程序。本文件提供了如何进行AST设备性能评估。本文件适用于指导制造商进行性能评价研究。</w:t>
            </w:r>
          </w:p>
        </w:tc>
        <w:tc>
          <w:tcPr>
            <w:tcW w:w="1566" w:type="dxa"/>
            <w:noWrap w:val="0"/>
            <w:tcMar>
              <w:top w:w="28" w:type="dxa"/>
              <w:left w:w="57" w:type="dxa"/>
              <w:bottom w:w="28" w:type="dxa"/>
              <w:right w:w="57" w:type="dxa"/>
            </w:tcMar>
            <w:vAlign w:val="center"/>
          </w:tcPr>
          <w:p w14:paraId="3D919D67">
            <w:pPr>
              <w:adjustRightInd w:val="0"/>
              <w:snapToGrid w:val="0"/>
              <w:spacing w:line="320" w:lineRule="exact"/>
              <w:rPr>
                <w:rFonts w:ascii="Times New Roman" w:hAnsi="Times New Roman" w:eastAsia="仿宋_GB2312"/>
                <w:color w:val="000000"/>
                <w:sz w:val="24"/>
              </w:rPr>
            </w:pPr>
            <w:r>
              <w:rPr>
                <w:rFonts w:ascii="Times New Roman" w:hAnsi="Times New Roman" w:eastAsia="仿宋_GB2312"/>
                <w:color w:val="000000"/>
                <w:sz w:val="24"/>
              </w:rPr>
              <w:t>2025年10月15日</w:t>
            </w:r>
          </w:p>
        </w:tc>
      </w:tr>
      <w:tr w14:paraId="27776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7" w:type="dxa"/>
            <w:noWrap w:val="0"/>
            <w:tcMar>
              <w:top w:w="28" w:type="dxa"/>
              <w:left w:w="57" w:type="dxa"/>
              <w:bottom w:w="28" w:type="dxa"/>
              <w:right w:w="57" w:type="dxa"/>
            </w:tcMar>
            <w:vAlign w:val="center"/>
          </w:tcPr>
          <w:p w14:paraId="08DCA3CD">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11</w:t>
            </w:r>
          </w:p>
        </w:tc>
        <w:tc>
          <w:tcPr>
            <w:tcW w:w="1935" w:type="dxa"/>
            <w:noWrap w:val="0"/>
            <w:tcMar>
              <w:top w:w="28" w:type="dxa"/>
              <w:left w:w="57" w:type="dxa"/>
              <w:bottom w:w="28" w:type="dxa"/>
              <w:right w:w="57" w:type="dxa"/>
            </w:tcMar>
            <w:vAlign w:val="center"/>
          </w:tcPr>
          <w:p w14:paraId="1D936212">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YY/T 0787—2024</w:t>
            </w:r>
          </w:p>
        </w:tc>
        <w:tc>
          <w:tcPr>
            <w:tcW w:w="2225" w:type="dxa"/>
            <w:noWrap w:val="0"/>
            <w:tcMar>
              <w:top w:w="28" w:type="dxa"/>
              <w:left w:w="57" w:type="dxa"/>
              <w:bottom w:w="28" w:type="dxa"/>
              <w:right w:w="57" w:type="dxa"/>
            </w:tcMar>
            <w:vAlign w:val="center"/>
          </w:tcPr>
          <w:p w14:paraId="76922FFB">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眼科仪器 角膜地形图仪</w:t>
            </w:r>
          </w:p>
        </w:tc>
        <w:tc>
          <w:tcPr>
            <w:tcW w:w="737" w:type="dxa"/>
            <w:noWrap w:val="0"/>
            <w:tcMar>
              <w:top w:w="28" w:type="dxa"/>
              <w:left w:w="57" w:type="dxa"/>
              <w:bottom w:w="28" w:type="dxa"/>
              <w:right w:w="57" w:type="dxa"/>
            </w:tcMar>
            <w:vAlign w:val="center"/>
          </w:tcPr>
          <w:p w14:paraId="6DA5DB77">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修订</w:t>
            </w:r>
          </w:p>
        </w:tc>
        <w:tc>
          <w:tcPr>
            <w:tcW w:w="2451" w:type="dxa"/>
            <w:noWrap w:val="0"/>
            <w:tcMar>
              <w:top w:w="28" w:type="dxa"/>
              <w:left w:w="57" w:type="dxa"/>
              <w:bottom w:w="28" w:type="dxa"/>
              <w:right w:w="57" w:type="dxa"/>
            </w:tcMar>
            <w:vAlign w:val="center"/>
          </w:tcPr>
          <w:p w14:paraId="1BB160ED">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YY/T 0787—2010</w:t>
            </w:r>
          </w:p>
        </w:tc>
        <w:tc>
          <w:tcPr>
            <w:tcW w:w="5707" w:type="dxa"/>
            <w:noWrap w:val="0"/>
            <w:tcMar>
              <w:top w:w="28" w:type="dxa"/>
              <w:left w:w="57" w:type="dxa"/>
              <w:bottom w:w="28" w:type="dxa"/>
              <w:right w:w="57" w:type="dxa"/>
            </w:tcMar>
            <w:vAlign w:val="center"/>
          </w:tcPr>
          <w:p w14:paraId="624EB5C1">
            <w:pPr>
              <w:adjustRightInd w:val="0"/>
              <w:snapToGrid w:val="0"/>
              <w:spacing w:line="320" w:lineRule="exact"/>
              <w:rPr>
                <w:rFonts w:ascii="Times New Roman" w:hAnsi="Times New Roman" w:eastAsia="仿宋_GB2312"/>
                <w:color w:val="000000"/>
                <w:sz w:val="24"/>
              </w:rPr>
            </w:pPr>
            <w:r>
              <w:rPr>
                <w:rFonts w:ascii="Times New Roman" w:hAnsi="Times New Roman" w:eastAsia="仿宋_GB2312"/>
                <w:color w:val="000000"/>
                <w:sz w:val="24"/>
              </w:rPr>
              <w:t>本文件规定了角膜地形图仪仪器和系统的最低要求、随附文件和标记，描述了相应的试验方法。本文件适用于测量人眼角膜表面形状的仪器或系统。 本文件不适用于眼科仪器中的角膜曲率计。</w:t>
            </w:r>
          </w:p>
        </w:tc>
        <w:tc>
          <w:tcPr>
            <w:tcW w:w="1566" w:type="dxa"/>
            <w:noWrap w:val="0"/>
            <w:tcMar>
              <w:top w:w="28" w:type="dxa"/>
              <w:left w:w="57" w:type="dxa"/>
              <w:bottom w:w="28" w:type="dxa"/>
              <w:right w:w="57" w:type="dxa"/>
            </w:tcMar>
            <w:vAlign w:val="center"/>
          </w:tcPr>
          <w:p w14:paraId="3D709B29">
            <w:pPr>
              <w:adjustRightInd w:val="0"/>
              <w:snapToGrid w:val="0"/>
              <w:spacing w:line="320" w:lineRule="exact"/>
              <w:rPr>
                <w:rFonts w:ascii="Times New Roman" w:hAnsi="Times New Roman" w:eastAsia="仿宋_GB2312"/>
                <w:color w:val="000000"/>
                <w:sz w:val="24"/>
              </w:rPr>
            </w:pPr>
            <w:r>
              <w:rPr>
                <w:rFonts w:ascii="Times New Roman" w:hAnsi="Times New Roman" w:eastAsia="仿宋_GB2312"/>
                <w:color w:val="000000"/>
                <w:sz w:val="24"/>
              </w:rPr>
              <w:t>2025年10月15日</w:t>
            </w:r>
          </w:p>
        </w:tc>
      </w:tr>
      <w:tr w14:paraId="020C5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7" w:type="dxa"/>
            <w:noWrap w:val="0"/>
            <w:tcMar>
              <w:top w:w="28" w:type="dxa"/>
              <w:left w:w="57" w:type="dxa"/>
              <w:bottom w:w="28" w:type="dxa"/>
              <w:right w:w="57" w:type="dxa"/>
            </w:tcMar>
            <w:vAlign w:val="center"/>
          </w:tcPr>
          <w:p w14:paraId="0FAD5D73">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12</w:t>
            </w:r>
          </w:p>
        </w:tc>
        <w:tc>
          <w:tcPr>
            <w:tcW w:w="1935" w:type="dxa"/>
            <w:noWrap w:val="0"/>
            <w:tcMar>
              <w:top w:w="28" w:type="dxa"/>
              <w:left w:w="57" w:type="dxa"/>
              <w:bottom w:w="28" w:type="dxa"/>
              <w:right w:w="57" w:type="dxa"/>
            </w:tcMar>
            <w:vAlign w:val="center"/>
          </w:tcPr>
          <w:p w14:paraId="42720F37">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YY/T 0802.1—2024</w:t>
            </w:r>
          </w:p>
        </w:tc>
        <w:tc>
          <w:tcPr>
            <w:tcW w:w="2225" w:type="dxa"/>
            <w:noWrap w:val="0"/>
            <w:tcMar>
              <w:top w:w="28" w:type="dxa"/>
              <w:left w:w="57" w:type="dxa"/>
              <w:bottom w:w="28" w:type="dxa"/>
              <w:right w:w="57" w:type="dxa"/>
            </w:tcMar>
            <w:vAlign w:val="center"/>
          </w:tcPr>
          <w:p w14:paraId="26B9170F">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医疗器械的处理 医疗器械制造商提供的信息 第1部分：中高度危险性医疗器械</w:t>
            </w:r>
          </w:p>
        </w:tc>
        <w:tc>
          <w:tcPr>
            <w:tcW w:w="737" w:type="dxa"/>
            <w:noWrap w:val="0"/>
            <w:tcMar>
              <w:top w:w="28" w:type="dxa"/>
              <w:left w:w="57" w:type="dxa"/>
              <w:bottom w:w="28" w:type="dxa"/>
              <w:right w:w="57" w:type="dxa"/>
            </w:tcMar>
            <w:vAlign w:val="center"/>
          </w:tcPr>
          <w:p w14:paraId="3D7BABBA">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修订</w:t>
            </w:r>
          </w:p>
        </w:tc>
        <w:tc>
          <w:tcPr>
            <w:tcW w:w="2451" w:type="dxa"/>
            <w:noWrap w:val="0"/>
            <w:tcMar>
              <w:top w:w="28" w:type="dxa"/>
              <w:left w:w="57" w:type="dxa"/>
              <w:bottom w:w="28" w:type="dxa"/>
              <w:right w:w="57" w:type="dxa"/>
            </w:tcMar>
            <w:vAlign w:val="center"/>
          </w:tcPr>
          <w:p w14:paraId="68CA5ED4">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YY/T 0802—2020</w:t>
            </w:r>
          </w:p>
        </w:tc>
        <w:tc>
          <w:tcPr>
            <w:tcW w:w="5707" w:type="dxa"/>
            <w:noWrap w:val="0"/>
            <w:tcMar>
              <w:top w:w="28" w:type="dxa"/>
              <w:left w:w="57" w:type="dxa"/>
              <w:bottom w:w="28" w:type="dxa"/>
              <w:right w:w="57" w:type="dxa"/>
            </w:tcMar>
            <w:vAlign w:val="center"/>
          </w:tcPr>
          <w:p w14:paraId="26C8B2A0">
            <w:pPr>
              <w:adjustRightInd w:val="0"/>
              <w:snapToGrid w:val="0"/>
              <w:spacing w:line="320" w:lineRule="exact"/>
              <w:rPr>
                <w:rFonts w:ascii="Times New Roman" w:hAnsi="Times New Roman" w:eastAsia="仿宋_GB2312"/>
                <w:color w:val="000000"/>
                <w:sz w:val="24"/>
              </w:rPr>
            </w:pPr>
            <w:r>
              <w:rPr>
                <w:rFonts w:ascii="Times New Roman" w:hAnsi="Times New Roman" w:eastAsia="仿宋_GB2312"/>
                <w:color w:val="000000"/>
                <w:sz w:val="24"/>
              </w:rPr>
              <w:t>本文件规定了医疗器械制造商提供有关处理中高度危险性医疗器械（即进入人体正常无菌部位的医疗器械，或接触粘膜或未完整皮肤的医疗器械）或准备进行灭菌的医疗器械的信息的要求。本文件适用于在使用或重复使用医疗器械之前进行处理的信息。本文件没有定义处理说明，而是规定了协助医疗器械制造商提供详细的处理说明的要求，处理说明包括以下适用的步骤：a)使用后现场即时处理；b)清洗前准备；c)清洗；d)消毒；e)干燥；</w:t>
            </w:r>
            <w:r>
              <w:rPr>
                <w:rFonts w:hint="eastAsia" w:ascii="Times New Roman" w:hAnsi="Times New Roman" w:eastAsia="仿宋_GB2312"/>
                <w:color w:val="000000"/>
                <w:sz w:val="24"/>
              </w:rPr>
              <w:t>f</w:t>
            </w:r>
            <w:r>
              <w:rPr>
                <w:rFonts w:ascii="Times New Roman" w:hAnsi="Times New Roman" w:eastAsia="仿宋_GB2312"/>
                <w:color w:val="000000"/>
                <w:sz w:val="24"/>
              </w:rPr>
              <w:t>)检查和保养；g)包装；h)灭菌；i)贮存；j)运输。本文件不适用于以下物品的处理：预期不进行灭菌的低度危险性医疗器械；用于病人铺单或手术衣类的纺织物；制造商规定可直接使用的一次性使用医疗器械。</w:t>
            </w:r>
          </w:p>
        </w:tc>
        <w:tc>
          <w:tcPr>
            <w:tcW w:w="1566" w:type="dxa"/>
            <w:noWrap w:val="0"/>
            <w:tcMar>
              <w:top w:w="28" w:type="dxa"/>
              <w:left w:w="57" w:type="dxa"/>
              <w:bottom w:w="28" w:type="dxa"/>
              <w:right w:w="57" w:type="dxa"/>
            </w:tcMar>
            <w:vAlign w:val="center"/>
          </w:tcPr>
          <w:p w14:paraId="18826A22">
            <w:pPr>
              <w:adjustRightInd w:val="0"/>
              <w:snapToGrid w:val="0"/>
              <w:spacing w:line="320" w:lineRule="exact"/>
              <w:rPr>
                <w:rFonts w:ascii="Times New Roman" w:hAnsi="Times New Roman" w:eastAsia="仿宋_GB2312"/>
                <w:color w:val="000000"/>
                <w:sz w:val="24"/>
              </w:rPr>
            </w:pPr>
            <w:r>
              <w:rPr>
                <w:rFonts w:ascii="Times New Roman" w:hAnsi="Times New Roman" w:eastAsia="仿宋_GB2312"/>
                <w:color w:val="000000"/>
                <w:sz w:val="24"/>
              </w:rPr>
              <w:t>2025年10月15日</w:t>
            </w:r>
          </w:p>
        </w:tc>
      </w:tr>
      <w:tr w14:paraId="3C99D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4" w:hRule="atLeast"/>
          <w:jc w:val="center"/>
        </w:trPr>
        <w:tc>
          <w:tcPr>
            <w:tcW w:w="527" w:type="dxa"/>
            <w:noWrap w:val="0"/>
            <w:tcMar>
              <w:top w:w="28" w:type="dxa"/>
              <w:left w:w="57" w:type="dxa"/>
              <w:bottom w:w="28" w:type="dxa"/>
              <w:right w:w="57" w:type="dxa"/>
            </w:tcMar>
            <w:vAlign w:val="center"/>
          </w:tcPr>
          <w:p w14:paraId="6D6A074F">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13</w:t>
            </w:r>
          </w:p>
        </w:tc>
        <w:tc>
          <w:tcPr>
            <w:tcW w:w="1935" w:type="dxa"/>
            <w:noWrap w:val="0"/>
            <w:tcMar>
              <w:top w:w="28" w:type="dxa"/>
              <w:left w:w="57" w:type="dxa"/>
              <w:bottom w:w="28" w:type="dxa"/>
              <w:right w:w="57" w:type="dxa"/>
            </w:tcMar>
            <w:vAlign w:val="center"/>
          </w:tcPr>
          <w:p w14:paraId="1C87E582">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YY/T 0802.2—2024</w:t>
            </w:r>
          </w:p>
        </w:tc>
        <w:tc>
          <w:tcPr>
            <w:tcW w:w="2225" w:type="dxa"/>
            <w:noWrap w:val="0"/>
            <w:tcMar>
              <w:top w:w="28" w:type="dxa"/>
              <w:left w:w="57" w:type="dxa"/>
              <w:bottom w:w="28" w:type="dxa"/>
              <w:right w:w="57" w:type="dxa"/>
            </w:tcMar>
            <w:vAlign w:val="center"/>
          </w:tcPr>
          <w:p w14:paraId="5BA96F05">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医疗器械的处理 医疗器械制造商提供的信息 第2部分：低度危险性医疗器械</w:t>
            </w:r>
          </w:p>
        </w:tc>
        <w:tc>
          <w:tcPr>
            <w:tcW w:w="737" w:type="dxa"/>
            <w:noWrap w:val="0"/>
            <w:tcMar>
              <w:top w:w="28" w:type="dxa"/>
              <w:left w:w="57" w:type="dxa"/>
              <w:bottom w:w="28" w:type="dxa"/>
              <w:right w:w="57" w:type="dxa"/>
            </w:tcMar>
            <w:vAlign w:val="center"/>
          </w:tcPr>
          <w:p w14:paraId="6456CF18">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修订</w:t>
            </w:r>
          </w:p>
        </w:tc>
        <w:tc>
          <w:tcPr>
            <w:tcW w:w="2451" w:type="dxa"/>
            <w:noWrap w:val="0"/>
            <w:tcMar>
              <w:top w:w="28" w:type="dxa"/>
              <w:left w:w="57" w:type="dxa"/>
              <w:bottom w:w="28" w:type="dxa"/>
              <w:right w:w="57" w:type="dxa"/>
            </w:tcMar>
            <w:vAlign w:val="center"/>
          </w:tcPr>
          <w:p w14:paraId="05712792">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YY/T 0802—2020</w:t>
            </w:r>
          </w:p>
        </w:tc>
        <w:tc>
          <w:tcPr>
            <w:tcW w:w="5707" w:type="dxa"/>
            <w:noWrap w:val="0"/>
            <w:tcMar>
              <w:top w:w="28" w:type="dxa"/>
              <w:left w:w="57" w:type="dxa"/>
              <w:bottom w:w="28" w:type="dxa"/>
              <w:right w:w="57" w:type="dxa"/>
            </w:tcMar>
            <w:vAlign w:val="center"/>
          </w:tcPr>
          <w:p w14:paraId="2FCF0A13">
            <w:pPr>
              <w:adjustRightInd w:val="0"/>
              <w:snapToGrid w:val="0"/>
              <w:spacing w:line="320" w:lineRule="exact"/>
              <w:rPr>
                <w:rFonts w:ascii="Times New Roman" w:hAnsi="Times New Roman" w:eastAsia="仿宋_GB2312"/>
                <w:color w:val="000000"/>
                <w:sz w:val="24"/>
              </w:rPr>
            </w:pPr>
            <w:r>
              <w:rPr>
                <w:rFonts w:ascii="Times New Roman" w:hAnsi="Times New Roman" w:eastAsia="仿宋_GB2312"/>
                <w:color w:val="000000"/>
                <w:sz w:val="24"/>
              </w:rPr>
              <w:t>本文件规定了医疗器械制造商提供的有关处理低度危险性医疗器械（即只接触完整皮肤的医疗器械或不直接接触患者的医疗器械）的信息的要求。本文件适用于在使用或重复使用医疗器械之前进行处理的信息。本文件没有规定处理说明的定义，而是规定了医疗器械制造商提供详细的处理说明的要求，这些处理包括以下适用的步骤：</w:t>
            </w:r>
            <w:r>
              <w:rPr>
                <w:rFonts w:ascii="Times New Roman" w:hAnsi="Times New Roman" w:eastAsia="仿宋_GB2312"/>
                <w:sz w:val="24"/>
              </w:rPr>
              <w:t xml:space="preserve">a) 处理前准备；b) 清洗；c) 消毒；d) 干燥；e) 检查和保养；f) 包装；g) 贮存；h) 运输。本文件不适用于以下处理：a) 中高度危险性医疗器械；b) 预期灭菌的医疗器械；c) 用于病人铺单或手术衣类的纺织物；d) </w:t>
            </w:r>
            <w:r>
              <w:rPr>
                <w:rFonts w:ascii="Times New Roman" w:hAnsi="Times New Roman" w:eastAsia="仿宋_GB2312"/>
                <w:color w:val="000000"/>
                <w:sz w:val="24"/>
              </w:rPr>
              <w:t>制造商规定可直接使用的一次性使用医疗器械。</w:t>
            </w:r>
          </w:p>
        </w:tc>
        <w:tc>
          <w:tcPr>
            <w:tcW w:w="1566" w:type="dxa"/>
            <w:noWrap w:val="0"/>
            <w:tcMar>
              <w:top w:w="28" w:type="dxa"/>
              <w:left w:w="57" w:type="dxa"/>
              <w:bottom w:w="28" w:type="dxa"/>
              <w:right w:w="57" w:type="dxa"/>
            </w:tcMar>
            <w:vAlign w:val="center"/>
          </w:tcPr>
          <w:p w14:paraId="4996A8A7">
            <w:pPr>
              <w:adjustRightInd w:val="0"/>
              <w:snapToGrid w:val="0"/>
              <w:spacing w:line="320" w:lineRule="exact"/>
              <w:rPr>
                <w:rFonts w:ascii="Times New Roman" w:hAnsi="Times New Roman" w:eastAsia="仿宋_GB2312"/>
                <w:color w:val="000000"/>
                <w:sz w:val="24"/>
              </w:rPr>
            </w:pPr>
            <w:r>
              <w:rPr>
                <w:rFonts w:ascii="Times New Roman" w:hAnsi="Times New Roman" w:eastAsia="仿宋_GB2312"/>
                <w:color w:val="000000"/>
                <w:sz w:val="24"/>
              </w:rPr>
              <w:t>2025年10月15日</w:t>
            </w:r>
          </w:p>
        </w:tc>
      </w:tr>
      <w:tr w14:paraId="37BAB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527" w:type="dxa"/>
            <w:noWrap w:val="0"/>
            <w:tcMar>
              <w:top w:w="28" w:type="dxa"/>
              <w:left w:w="57" w:type="dxa"/>
              <w:bottom w:w="28" w:type="dxa"/>
              <w:right w:w="57" w:type="dxa"/>
            </w:tcMar>
            <w:vAlign w:val="center"/>
          </w:tcPr>
          <w:p w14:paraId="046ED3BF">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14</w:t>
            </w:r>
          </w:p>
        </w:tc>
        <w:tc>
          <w:tcPr>
            <w:tcW w:w="1935" w:type="dxa"/>
            <w:noWrap w:val="0"/>
            <w:tcMar>
              <w:top w:w="28" w:type="dxa"/>
              <w:left w:w="57" w:type="dxa"/>
              <w:bottom w:w="28" w:type="dxa"/>
              <w:right w:w="57" w:type="dxa"/>
            </w:tcMar>
            <w:vAlign w:val="center"/>
          </w:tcPr>
          <w:p w14:paraId="1CADD41C">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YY/T 0860—2024</w:t>
            </w:r>
          </w:p>
        </w:tc>
        <w:tc>
          <w:tcPr>
            <w:tcW w:w="2225" w:type="dxa"/>
            <w:noWrap w:val="0"/>
            <w:tcMar>
              <w:top w:w="28" w:type="dxa"/>
              <w:left w:w="57" w:type="dxa"/>
              <w:bottom w:w="28" w:type="dxa"/>
              <w:right w:w="57" w:type="dxa"/>
            </w:tcMar>
            <w:vAlign w:val="center"/>
          </w:tcPr>
          <w:p w14:paraId="76086601">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心脏射频消融治疗设备</w:t>
            </w:r>
          </w:p>
        </w:tc>
        <w:tc>
          <w:tcPr>
            <w:tcW w:w="737" w:type="dxa"/>
            <w:noWrap w:val="0"/>
            <w:tcMar>
              <w:top w:w="28" w:type="dxa"/>
              <w:left w:w="57" w:type="dxa"/>
              <w:bottom w:w="28" w:type="dxa"/>
              <w:right w:w="57" w:type="dxa"/>
            </w:tcMar>
            <w:vAlign w:val="center"/>
          </w:tcPr>
          <w:p w14:paraId="1EE89ED9">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修订</w:t>
            </w:r>
          </w:p>
        </w:tc>
        <w:tc>
          <w:tcPr>
            <w:tcW w:w="2451" w:type="dxa"/>
            <w:noWrap w:val="0"/>
            <w:tcMar>
              <w:top w:w="28" w:type="dxa"/>
              <w:left w:w="57" w:type="dxa"/>
              <w:bottom w:w="28" w:type="dxa"/>
              <w:right w:w="57" w:type="dxa"/>
            </w:tcMar>
            <w:vAlign w:val="center"/>
          </w:tcPr>
          <w:p w14:paraId="059B421F">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YY/T 0860—2011</w:t>
            </w:r>
          </w:p>
        </w:tc>
        <w:tc>
          <w:tcPr>
            <w:tcW w:w="5707" w:type="dxa"/>
            <w:noWrap w:val="0"/>
            <w:tcMar>
              <w:top w:w="28" w:type="dxa"/>
              <w:left w:w="57" w:type="dxa"/>
              <w:bottom w:w="28" w:type="dxa"/>
              <w:right w:w="57" w:type="dxa"/>
            </w:tcMar>
            <w:vAlign w:val="center"/>
          </w:tcPr>
          <w:p w14:paraId="31C6C547">
            <w:pPr>
              <w:adjustRightInd w:val="0"/>
              <w:snapToGrid w:val="0"/>
              <w:spacing w:line="320" w:lineRule="exact"/>
              <w:rPr>
                <w:rFonts w:ascii="Times New Roman" w:hAnsi="Times New Roman" w:eastAsia="仿宋_GB2312"/>
                <w:color w:val="000000"/>
                <w:sz w:val="24"/>
              </w:rPr>
            </w:pPr>
            <w:r>
              <w:rPr>
                <w:rFonts w:ascii="Times New Roman" w:hAnsi="Times New Roman" w:eastAsia="仿宋_GB2312"/>
                <w:color w:val="000000"/>
                <w:sz w:val="24"/>
              </w:rPr>
              <w:t>本文件规定了心脏射频消融治疗设备及其配用附件的分类、要求，描述了相应的试验方法。本文件适用于心脏射频消融治疗设备及其配用附件，该类设备用于心脏介入射频消融手术或心/胸外科射频消融手术。</w:t>
            </w:r>
          </w:p>
        </w:tc>
        <w:tc>
          <w:tcPr>
            <w:tcW w:w="1566" w:type="dxa"/>
            <w:noWrap w:val="0"/>
            <w:tcMar>
              <w:top w:w="28" w:type="dxa"/>
              <w:left w:w="57" w:type="dxa"/>
              <w:bottom w:w="28" w:type="dxa"/>
              <w:right w:w="57" w:type="dxa"/>
            </w:tcMar>
            <w:vAlign w:val="center"/>
          </w:tcPr>
          <w:p w14:paraId="4BA9DB7B">
            <w:pPr>
              <w:adjustRightInd w:val="0"/>
              <w:snapToGrid w:val="0"/>
              <w:spacing w:line="320" w:lineRule="exact"/>
              <w:rPr>
                <w:rFonts w:ascii="Times New Roman" w:hAnsi="Times New Roman" w:eastAsia="仿宋_GB2312"/>
                <w:color w:val="000000"/>
                <w:sz w:val="24"/>
              </w:rPr>
            </w:pPr>
            <w:r>
              <w:rPr>
                <w:rFonts w:ascii="Times New Roman" w:hAnsi="Times New Roman" w:eastAsia="仿宋_GB2312"/>
                <w:color w:val="000000"/>
                <w:sz w:val="24"/>
              </w:rPr>
              <w:t>2025年10月15日</w:t>
            </w:r>
          </w:p>
        </w:tc>
      </w:tr>
      <w:tr w14:paraId="1035A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9" w:hRule="atLeast"/>
          <w:jc w:val="center"/>
        </w:trPr>
        <w:tc>
          <w:tcPr>
            <w:tcW w:w="527" w:type="dxa"/>
            <w:noWrap w:val="0"/>
            <w:tcMar>
              <w:top w:w="28" w:type="dxa"/>
              <w:left w:w="57" w:type="dxa"/>
              <w:bottom w:w="28" w:type="dxa"/>
              <w:right w:w="57" w:type="dxa"/>
            </w:tcMar>
            <w:vAlign w:val="center"/>
          </w:tcPr>
          <w:p w14:paraId="6DBA521D">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15</w:t>
            </w:r>
          </w:p>
        </w:tc>
        <w:tc>
          <w:tcPr>
            <w:tcW w:w="1935" w:type="dxa"/>
            <w:noWrap w:val="0"/>
            <w:tcMar>
              <w:top w:w="28" w:type="dxa"/>
              <w:left w:w="57" w:type="dxa"/>
              <w:bottom w:w="28" w:type="dxa"/>
              <w:right w:w="57" w:type="dxa"/>
            </w:tcMar>
            <w:vAlign w:val="center"/>
          </w:tcPr>
          <w:p w14:paraId="58C0CBBC">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YY/T 0866—2024</w:t>
            </w:r>
          </w:p>
        </w:tc>
        <w:tc>
          <w:tcPr>
            <w:tcW w:w="2225" w:type="dxa"/>
            <w:noWrap w:val="0"/>
            <w:tcMar>
              <w:top w:w="28" w:type="dxa"/>
              <w:left w:w="57" w:type="dxa"/>
              <w:bottom w:w="28" w:type="dxa"/>
              <w:right w:w="57" w:type="dxa"/>
            </w:tcMar>
            <w:vAlign w:val="center"/>
          </w:tcPr>
          <w:p w14:paraId="2AFC66D7">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医用防护口罩总泄漏率测试方法</w:t>
            </w:r>
          </w:p>
        </w:tc>
        <w:tc>
          <w:tcPr>
            <w:tcW w:w="737" w:type="dxa"/>
            <w:noWrap w:val="0"/>
            <w:tcMar>
              <w:top w:w="28" w:type="dxa"/>
              <w:left w:w="57" w:type="dxa"/>
              <w:bottom w:w="28" w:type="dxa"/>
              <w:right w:w="57" w:type="dxa"/>
            </w:tcMar>
            <w:vAlign w:val="center"/>
          </w:tcPr>
          <w:p w14:paraId="38FC6A4C">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修订</w:t>
            </w:r>
          </w:p>
        </w:tc>
        <w:tc>
          <w:tcPr>
            <w:tcW w:w="2451" w:type="dxa"/>
            <w:noWrap w:val="0"/>
            <w:tcMar>
              <w:top w:w="28" w:type="dxa"/>
              <w:left w:w="57" w:type="dxa"/>
              <w:bottom w:w="28" w:type="dxa"/>
              <w:right w:w="57" w:type="dxa"/>
            </w:tcMar>
            <w:vAlign w:val="center"/>
          </w:tcPr>
          <w:p w14:paraId="6441592E">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YY/T 0866—2011</w:t>
            </w:r>
          </w:p>
        </w:tc>
        <w:tc>
          <w:tcPr>
            <w:tcW w:w="5707" w:type="dxa"/>
            <w:noWrap w:val="0"/>
            <w:tcMar>
              <w:top w:w="28" w:type="dxa"/>
              <w:left w:w="57" w:type="dxa"/>
              <w:bottom w:w="28" w:type="dxa"/>
              <w:right w:w="57" w:type="dxa"/>
            </w:tcMar>
            <w:vAlign w:val="center"/>
          </w:tcPr>
          <w:p w14:paraId="61F4BDB6">
            <w:pPr>
              <w:adjustRightInd w:val="0"/>
              <w:snapToGrid w:val="0"/>
              <w:spacing w:line="320" w:lineRule="exact"/>
              <w:rPr>
                <w:rFonts w:ascii="Times New Roman" w:hAnsi="Times New Roman" w:eastAsia="仿宋_GB2312"/>
                <w:color w:val="000000"/>
                <w:sz w:val="24"/>
              </w:rPr>
            </w:pPr>
            <w:r>
              <w:rPr>
                <w:rFonts w:ascii="Times New Roman" w:hAnsi="Times New Roman" w:eastAsia="仿宋_GB2312"/>
                <w:color w:val="000000"/>
                <w:sz w:val="24"/>
              </w:rPr>
              <w:t>本文件描述了医用防护口罩的总泄漏率测试方法。本文件适用于医用防护口罩的总泄漏率测试评价。其他医用生物防护器械的泄漏率测试评价可参考本文件。</w:t>
            </w:r>
          </w:p>
        </w:tc>
        <w:tc>
          <w:tcPr>
            <w:tcW w:w="1566" w:type="dxa"/>
            <w:noWrap w:val="0"/>
            <w:tcMar>
              <w:top w:w="28" w:type="dxa"/>
              <w:left w:w="57" w:type="dxa"/>
              <w:bottom w:w="28" w:type="dxa"/>
              <w:right w:w="57" w:type="dxa"/>
            </w:tcMar>
            <w:vAlign w:val="center"/>
          </w:tcPr>
          <w:p w14:paraId="0AA3E8EE">
            <w:pPr>
              <w:adjustRightInd w:val="0"/>
              <w:snapToGrid w:val="0"/>
              <w:spacing w:line="320" w:lineRule="exact"/>
              <w:rPr>
                <w:rFonts w:ascii="Times New Roman" w:hAnsi="Times New Roman" w:eastAsia="仿宋_GB2312"/>
                <w:color w:val="000000"/>
                <w:sz w:val="24"/>
              </w:rPr>
            </w:pPr>
            <w:r>
              <w:rPr>
                <w:rFonts w:ascii="Times New Roman" w:hAnsi="Times New Roman" w:eastAsia="仿宋_GB2312"/>
                <w:color w:val="000000"/>
                <w:sz w:val="24"/>
              </w:rPr>
              <w:t>2025年12月1日</w:t>
            </w:r>
          </w:p>
        </w:tc>
      </w:tr>
      <w:tr w14:paraId="754FB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9" w:hRule="atLeast"/>
          <w:jc w:val="center"/>
        </w:trPr>
        <w:tc>
          <w:tcPr>
            <w:tcW w:w="527" w:type="dxa"/>
            <w:noWrap w:val="0"/>
            <w:tcMar>
              <w:top w:w="28" w:type="dxa"/>
              <w:left w:w="57" w:type="dxa"/>
              <w:bottom w:w="28" w:type="dxa"/>
              <w:right w:w="57" w:type="dxa"/>
            </w:tcMar>
            <w:vAlign w:val="center"/>
          </w:tcPr>
          <w:p w14:paraId="4234EF20">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16</w:t>
            </w:r>
          </w:p>
        </w:tc>
        <w:tc>
          <w:tcPr>
            <w:tcW w:w="1935" w:type="dxa"/>
            <w:noWrap w:val="0"/>
            <w:tcMar>
              <w:top w:w="28" w:type="dxa"/>
              <w:left w:w="57" w:type="dxa"/>
              <w:bottom w:w="28" w:type="dxa"/>
              <w:right w:w="57" w:type="dxa"/>
            </w:tcMar>
            <w:vAlign w:val="center"/>
          </w:tcPr>
          <w:p w14:paraId="6958F8F5">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YY/T 1183—2024</w:t>
            </w:r>
          </w:p>
        </w:tc>
        <w:tc>
          <w:tcPr>
            <w:tcW w:w="2225" w:type="dxa"/>
            <w:noWrap w:val="0"/>
            <w:tcMar>
              <w:top w:w="28" w:type="dxa"/>
              <w:left w:w="57" w:type="dxa"/>
              <w:bottom w:w="28" w:type="dxa"/>
              <w:right w:w="57" w:type="dxa"/>
            </w:tcMar>
            <w:vAlign w:val="center"/>
          </w:tcPr>
          <w:p w14:paraId="701E7F79">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酶联免疫吸附法检测试剂盒</w:t>
            </w:r>
          </w:p>
        </w:tc>
        <w:tc>
          <w:tcPr>
            <w:tcW w:w="737" w:type="dxa"/>
            <w:noWrap w:val="0"/>
            <w:tcMar>
              <w:top w:w="28" w:type="dxa"/>
              <w:left w:w="57" w:type="dxa"/>
              <w:bottom w:w="28" w:type="dxa"/>
              <w:right w:w="57" w:type="dxa"/>
            </w:tcMar>
            <w:vAlign w:val="center"/>
          </w:tcPr>
          <w:p w14:paraId="351E029B">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修订</w:t>
            </w:r>
          </w:p>
        </w:tc>
        <w:tc>
          <w:tcPr>
            <w:tcW w:w="2451" w:type="dxa"/>
            <w:noWrap w:val="0"/>
            <w:tcMar>
              <w:top w:w="28" w:type="dxa"/>
              <w:left w:w="57" w:type="dxa"/>
              <w:bottom w:w="28" w:type="dxa"/>
              <w:right w:w="57" w:type="dxa"/>
            </w:tcMar>
            <w:vAlign w:val="center"/>
          </w:tcPr>
          <w:p w14:paraId="2B16A617">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YY/T 1183—2010</w:t>
            </w:r>
          </w:p>
        </w:tc>
        <w:tc>
          <w:tcPr>
            <w:tcW w:w="5707" w:type="dxa"/>
            <w:noWrap w:val="0"/>
            <w:tcMar>
              <w:top w:w="28" w:type="dxa"/>
              <w:left w:w="57" w:type="dxa"/>
              <w:bottom w:w="28" w:type="dxa"/>
              <w:right w:w="57" w:type="dxa"/>
            </w:tcMar>
            <w:vAlign w:val="center"/>
          </w:tcPr>
          <w:p w14:paraId="2162986D">
            <w:pPr>
              <w:adjustRightInd w:val="0"/>
              <w:snapToGrid w:val="0"/>
              <w:spacing w:line="320" w:lineRule="exact"/>
              <w:rPr>
                <w:rFonts w:ascii="Times New Roman" w:hAnsi="Times New Roman" w:eastAsia="仿宋_GB2312"/>
                <w:color w:val="000000"/>
                <w:sz w:val="24"/>
              </w:rPr>
            </w:pPr>
            <w:r>
              <w:rPr>
                <w:rFonts w:ascii="Times New Roman" w:hAnsi="Times New Roman" w:eastAsia="仿宋_GB2312"/>
                <w:color w:val="000000"/>
                <w:sz w:val="24"/>
              </w:rPr>
              <w:t>本文件规定了酶联免疫吸附法检测试剂盒的要求、标识、标签和使用说明、包装、运输和贮存，描述了相应的试验方法。本文件适用于在医学实验室以酶联免疫吸附法为原理进行检验的定量或定性检测试剂盒。</w:t>
            </w:r>
          </w:p>
        </w:tc>
        <w:tc>
          <w:tcPr>
            <w:tcW w:w="1566" w:type="dxa"/>
            <w:noWrap w:val="0"/>
            <w:tcMar>
              <w:top w:w="28" w:type="dxa"/>
              <w:left w:w="57" w:type="dxa"/>
              <w:bottom w:w="28" w:type="dxa"/>
              <w:right w:w="57" w:type="dxa"/>
            </w:tcMar>
            <w:vAlign w:val="center"/>
          </w:tcPr>
          <w:p w14:paraId="4928401A">
            <w:pPr>
              <w:adjustRightInd w:val="0"/>
              <w:snapToGrid w:val="0"/>
              <w:spacing w:line="320" w:lineRule="exact"/>
              <w:rPr>
                <w:rFonts w:ascii="Times New Roman" w:hAnsi="Times New Roman" w:eastAsia="仿宋_GB2312"/>
                <w:color w:val="000000"/>
                <w:sz w:val="24"/>
              </w:rPr>
            </w:pPr>
            <w:r>
              <w:rPr>
                <w:rFonts w:ascii="Times New Roman" w:hAnsi="Times New Roman" w:eastAsia="仿宋_GB2312"/>
                <w:color w:val="000000"/>
                <w:sz w:val="24"/>
              </w:rPr>
              <w:t>2025年10月15日</w:t>
            </w:r>
          </w:p>
        </w:tc>
      </w:tr>
      <w:tr w14:paraId="2A61D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8" w:hRule="atLeast"/>
          <w:jc w:val="center"/>
        </w:trPr>
        <w:tc>
          <w:tcPr>
            <w:tcW w:w="527" w:type="dxa"/>
            <w:noWrap w:val="0"/>
            <w:tcMar>
              <w:top w:w="28" w:type="dxa"/>
              <w:left w:w="57" w:type="dxa"/>
              <w:bottom w:w="28" w:type="dxa"/>
              <w:right w:w="57" w:type="dxa"/>
            </w:tcMar>
            <w:vAlign w:val="center"/>
          </w:tcPr>
          <w:p w14:paraId="73D3269B">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17</w:t>
            </w:r>
          </w:p>
        </w:tc>
        <w:tc>
          <w:tcPr>
            <w:tcW w:w="1935" w:type="dxa"/>
            <w:noWrap w:val="0"/>
            <w:tcMar>
              <w:top w:w="28" w:type="dxa"/>
              <w:left w:w="57" w:type="dxa"/>
              <w:bottom w:w="28" w:type="dxa"/>
              <w:right w:w="57" w:type="dxa"/>
            </w:tcMar>
            <w:vAlign w:val="center"/>
          </w:tcPr>
          <w:p w14:paraId="0AFE8392">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YY/T 1233—2024</w:t>
            </w:r>
          </w:p>
        </w:tc>
        <w:tc>
          <w:tcPr>
            <w:tcW w:w="2225" w:type="dxa"/>
            <w:noWrap w:val="0"/>
            <w:tcMar>
              <w:top w:w="28" w:type="dxa"/>
              <w:left w:w="57" w:type="dxa"/>
              <w:bottom w:w="28" w:type="dxa"/>
              <w:right w:w="57" w:type="dxa"/>
            </w:tcMar>
            <w:vAlign w:val="center"/>
          </w:tcPr>
          <w:p w14:paraId="5190F165">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心肌肌钙蛋白测定试剂盒（标记免疫分析法）</w:t>
            </w:r>
          </w:p>
        </w:tc>
        <w:tc>
          <w:tcPr>
            <w:tcW w:w="737" w:type="dxa"/>
            <w:noWrap w:val="0"/>
            <w:tcMar>
              <w:top w:w="28" w:type="dxa"/>
              <w:left w:w="57" w:type="dxa"/>
              <w:bottom w:w="28" w:type="dxa"/>
              <w:right w:w="57" w:type="dxa"/>
            </w:tcMar>
            <w:vAlign w:val="center"/>
          </w:tcPr>
          <w:p w14:paraId="329D9415">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修订</w:t>
            </w:r>
          </w:p>
        </w:tc>
        <w:tc>
          <w:tcPr>
            <w:tcW w:w="2451" w:type="dxa"/>
            <w:noWrap w:val="0"/>
            <w:tcMar>
              <w:top w:w="28" w:type="dxa"/>
              <w:left w:w="57" w:type="dxa"/>
              <w:bottom w:w="28" w:type="dxa"/>
              <w:right w:w="57" w:type="dxa"/>
            </w:tcMar>
            <w:vAlign w:val="center"/>
          </w:tcPr>
          <w:p w14:paraId="2BA64760">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YY/T 1233—2014</w:t>
            </w:r>
          </w:p>
        </w:tc>
        <w:tc>
          <w:tcPr>
            <w:tcW w:w="5707" w:type="dxa"/>
            <w:noWrap w:val="0"/>
            <w:tcMar>
              <w:top w:w="28" w:type="dxa"/>
              <w:left w:w="57" w:type="dxa"/>
              <w:bottom w:w="28" w:type="dxa"/>
              <w:right w:w="57" w:type="dxa"/>
            </w:tcMar>
            <w:vAlign w:val="center"/>
          </w:tcPr>
          <w:p w14:paraId="76E52BAC">
            <w:pPr>
              <w:adjustRightInd w:val="0"/>
              <w:snapToGrid w:val="0"/>
              <w:spacing w:line="320" w:lineRule="exact"/>
              <w:rPr>
                <w:rFonts w:ascii="Times New Roman" w:hAnsi="Times New Roman" w:eastAsia="仿宋_GB2312"/>
                <w:color w:val="000000"/>
                <w:sz w:val="24"/>
              </w:rPr>
            </w:pPr>
            <w:r>
              <w:rPr>
                <w:rFonts w:ascii="Times New Roman" w:hAnsi="Times New Roman" w:eastAsia="仿宋_GB2312"/>
                <w:color w:val="000000"/>
                <w:sz w:val="24"/>
              </w:rPr>
              <w:t>本文件规定了心肌肌钙蛋白测定试剂盒（标记免疫分析法）的要求，标识、标签和使用说明书以及包装、运输和贮存，描述了相应的试验方法。本文件适用于体外定量检测人血清、血浆或全血中的心肌肌钙蛋白I（以下简称cTnI）和心肌肌钙蛋白T（以下简称cTnT）的试剂盒。方法学包括酶联免疫法、酶促及非酶促化学发光法、电化学发光法、时间分辨荧光免疫分析法等。本文件不适用于：用胶体金或其他方法标记的定性或半定量试剂（如试纸条、生物芯片等）；用放射性同位素标记的各类放射免疫或免疫放射试剂盒；拟用于单独销售的cTnI或cTnT校准品、质控品。</w:t>
            </w:r>
          </w:p>
        </w:tc>
        <w:tc>
          <w:tcPr>
            <w:tcW w:w="1566" w:type="dxa"/>
            <w:noWrap w:val="0"/>
            <w:tcMar>
              <w:top w:w="28" w:type="dxa"/>
              <w:left w:w="57" w:type="dxa"/>
              <w:bottom w:w="28" w:type="dxa"/>
              <w:right w:w="57" w:type="dxa"/>
            </w:tcMar>
            <w:vAlign w:val="center"/>
          </w:tcPr>
          <w:p w14:paraId="1E259CB5">
            <w:pPr>
              <w:adjustRightInd w:val="0"/>
              <w:snapToGrid w:val="0"/>
              <w:spacing w:line="320" w:lineRule="exact"/>
              <w:rPr>
                <w:rFonts w:ascii="Times New Roman" w:hAnsi="Times New Roman" w:eastAsia="仿宋_GB2312"/>
                <w:color w:val="000000"/>
                <w:sz w:val="24"/>
              </w:rPr>
            </w:pPr>
            <w:r>
              <w:rPr>
                <w:rFonts w:ascii="Times New Roman" w:hAnsi="Times New Roman" w:eastAsia="仿宋_GB2312"/>
                <w:color w:val="000000"/>
                <w:sz w:val="24"/>
              </w:rPr>
              <w:t>2025年10月15日</w:t>
            </w:r>
          </w:p>
        </w:tc>
      </w:tr>
      <w:tr w14:paraId="70CC9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3" w:hRule="atLeast"/>
          <w:jc w:val="center"/>
        </w:trPr>
        <w:tc>
          <w:tcPr>
            <w:tcW w:w="527" w:type="dxa"/>
            <w:noWrap w:val="0"/>
            <w:tcMar>
              <w:top w:w="28" w:type="dxa"/>
              <w:left w:w="57" w:type="dxa"/>
              <w:bottom w:w="28" w:type="dxa"/>
              <w:right w:w="57" w:type="dxa"/>
            </w:tcMar>
            <w:vAlign w:val="center"/>
          </w:tcPr>
          <w:p w14:paraId="55894511">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18</w:t>
            </w:r>
          </w:p>
        </w:tc>
        <w:tc>
          <w:tcPr>
            <w:tcW w:w="1935" w:type="dxa"/>
            <w:noWrap w:val="0"/>
            <w:tcMar>
              <w:top w:w="28" w:type="dxa"/>
              <w:left w:w="57" w:type="dxa"/>
              <w:bottom w:w="28" w:type="dxa"/>
              <w:right w:w="57" w:type="dxa"/>
            </w:tcMar>
            <w:vAlign w:val="center"/>
          </w:tcPr>
          <w:p w14:paraId="0D0C46C9">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YY/T  1284—2024</w:t>
            </w:r>
          </w:p>
        </w:tc>
        <w:tc>
          <w:tcPr>
            <w:tcW w:w="2225" w:type="dxa"/>
            <w:noWrap w:val="0"/>
            <w:tcMar>
              <w:top w:w="28" w:type="dxa"/>
              <w:left w:w="57" w:type="dxa"/>
              <w:bottom w:w="28" w:type="dxa"/>
              <w:right w:w="57" w:type="dxa"/>
            </w:tcMar>
            <w:vAlign w:val="center"/>
          </w:tcPr>
          <w:p w14:paraId="33B176BB">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牙科学 牙科镊</w:t>
            </w:r>
          </w:p>
        </w:tc>
        <w:tc>
          <w:tcPr>
            <w:tcW w:w="737" w:type="dxa"/>
            <w:noWrap w:val="0"/>
            <w:tcMar>
              <w:top w:w="28" w:type="dxa"/>
              <w:left w:w="57" w:type="dxa"/>
              <w:bottom w:w="28" w:type="dxa"/>
              <w:right w:w="57" w:type="dxa"/>
            </w:tcMar>
            <w:vAlign w:val="center"/>
          </w:tcPr>
          <w:p w14:paraId="2FAF3F55">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修订</w:t>
            </w:r>
          </w:p>
        </w:tc>
        <w:tc>
          <w:tcPr>
            <w:tcW w:w="2451" w:type="dxa"/>
            <w:noWrap w:val="0"/>
            <w:tcMar>
              <w:top w:w="28" w:type="dxa"/>
              <w:left w:w="57" w:type="dxa"/>
              <w:bottom w:w="28" w:type="dxa"/>
              <w:right w:w="57" w:type="dxa"/>
            </w:tcMar>
            <w:vAlign w:val="center"/>
          </w:tcPr>
          <w:p w14:paraId="14E2B94C">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YY/T  1284.1—2015</w:t>
            </w:r>
          </w:p>
          <w:p w14:paraId="4374B91F">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YY/T  1284.2—2015</w:t>
            </w:r>
          </w:p>
          <w:p w14:paraId="607EBFC5">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YY/T  1284.3—2015</w:t>
            </w:r>
          </w:p>
        </w:tc>
        <w:tc>
          <w:tcPr>
            <w:tcW w:w="5707" w:type="dxa"/>
            <w:noWrap w:val="0"/>
            <w:tcMar>
              <w:top w:w="28" w:type="dxa"/>
              <w:left w:w="57" w:type="dxa"/>
              <w:bottom w:w="28" w:type="dxa"/>
              <w:right w:w="57" w:type="dxa"/>
            </w:tcMar>
            <w:vAlign w:val="center"/>
          </w:tcPr>
          <w:p w14:paraId="7F3DC3BA">
            <w:pPr>
              <w:adjustRightInd w:val="0"/>
              <w:snapToGrid w:val="0"/>
              <w:spacing w:line="320" w:lineRule="exact"/>
              <w:rPr>
                <w:rFonts w:ascii="Times New Roman" w:hAnsi="Times New Roman" w:eastAsia="仿宋_GB2312"/>
                <w:color w:val="000000"/>
                <w:sz w:val="24"/>
              </w:rPr>
            </w:pPr>
            <w:r>
              <w:rPr>
                <w:rFonts w:ascii="Times New Roman" w:hAnsi="Times New Roman" w:eastAsia="仿宋_GB2312"/>
                <w:color w:val="000000"/>
                <w:sz w:val="24"/>
              </w:rPr>
              <w:t>本文件规定了牙科镊的一般要求，描述了相应的试验方法。本文件适用于单弯型和双弯型金属牙科镊。本文件不适用于解剖镊和医用镊。</w:t>
            </w:r>
          </w:p>
        </w:tc>
        <w:tc>
          <w:tcPr>
            <w:tcW w:w="1566" w:type="dxa"/>
            <w:noWrap w:val="0"/>
            <w:tcMar>
              <w:top w:w="28" w:type="dxa"/>
              <w:left w:w="57" w:type="dxa"/>
              <w:bottom w:w="28" w:type="dxa"/>
              <w:right w:w="57" w:type="dxa"/>
            </w:tcMar>
            <w:vAlign w:val="center"/>
          </w:tcPr>
          <w:p w14:paraId="65556836">
            <w:pPr>
              <w:adjustRightInd w:val="0"/>
              <w:snapToGrid w:val="0"/>
              <w:spacing w:line="320" w:lineRule="exact"/>
              <w:rPr>
                <w:rFonts w:ascii="Times New Roman" w:hAnsi="Times New Roman" w:eastAsia="仿宋_GB2312"/>
                <w:color w:val="000000"/>
                <w:sz w:val="24"/>
              </w:rPr>
            </w:pPr>
            <w:r>
              <w:rPr>
                <w:rFonts w:ascii="Times New Roman" w:hAnsi="Times New Roman" w:eastAsia="仿宋_GB2312"/>
                <w:color w:val="000000"/>
                <w:sz w:val="24"/>
              </w:rPr>
              <w:t>2025年10月15日</w:t>
            </w:r>
          </w:p>
        </w:tc>
      </w:tr>
      <w:tr w14:paraId="6567B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3" w:hRule="atLeast"/>
          <w:jc w:val="center"/>
        </w:trPr>
        <w:tc>
          <w:tcPr>
            <w:tcW w:w="527" w:type="dxa"/>
            <w:noWrap w:val="0"/>
            <w:tcMar>
              <w:top w:w="28" w:type="dxa"/>
              <w:left w:w="57" w:type="dxa"/>
              <w:bottom w:w="28" w:type="dxa"/>
              <w:right w:w="57" w:type="dxa"/>
            </w:tcMar>
            <w:vAlign w:val="center"/>
          </w:tcPr>
          <w:p w14:paraId="6C02951A">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19</w:t>
            </w:r>
          </w:p>
        </w:tc>
        <w:tc>
          <w:tcPr>
            <w:tcW w:w="1935" w:type="dxa"/>
            <w:noWrap w:val="0"/>
            <w:tcMar>
              <w:top w:w="28" w:type="dxa"/>
              <w:left w:w="57" w:type="dxa"/>
              <w:bottom w:w="28" w:type="dxa"/>
              <w:right w:w="57" w:type="dxa"/>
            </w:tcMar>
            <w:vAlign w:val="center"/>
          </w:tcPr>
          <w:p w14:paraId="48BA7770">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YY/T 1529—2024</w:t>
            </w:r>
          </w:p>
        </w:tc>
        <w:tc>
          <w:tcPr>
            <w:tcW w:w="2225" w:type="dxa"/>
            <w:noWrap w:val="0"/>
            <w:tcMar>
              <w:top w:w="28" w:type="dxa"/>
              <w:left w:w="57" w:type="dxa"/>
              <w:bottom w:w="28" w:type="dxa"/>
              <w:right w:w="57" w:type="dxa"/>
            </w:tcMar>
            <w:vAlign w:val="center"/>
          </w:tcPr>
          <w:p w14:paraId="1CBB225D">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酶联免疫分析仪</w:t>
            </w:r>
          </w:p>
        </w:tc>
        <w:tc>
          <w:tcPr>
            <w:tcW w:w="737" w:type="dxa"/>
            <w:noWrap w:val="0"/>
            <w:tcMar>
              <w:top w:w="28" w:type="dxa"/>
              <w:left w:w="57" w:type="dxa"/>
              <w:bottom w:w="28" w:type="dxa"/>
              <w:right w:w="57" w:type="dxa"/>
            </w:tcMar>
            <w:vAlign w:val="center"/>
          </w:tcPr>
          <w:p w14:paraId="3BE0C5EA">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修订</w:t>
            </w:r>
          </w:p>
        </w:tc>
        <w:tc>
          <w:tcPr>
            <w:tcW w:w="2451" w:type="dxa"/>
            <w:noWrap w:val="0"/>
            <w:tcMar>
              <w:top w:w="28" w:type="dxa"/>
              <w:left w:w="57" w:type="dxa"/>
              <w:bottom w:w="28" w:type="dxa"/>
              <w:right w:w="57" w:type="dxa"/>
            </w:tcMar>
            <w:vAlign w:val="center"/>
          </w:tcPr>
          <w:p w14:paraId="3D65EFE4">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YY/T 1529—2017</w:t>
            </w:r>
          </w:p>
        </w:tc>
        <w:tc>
          <w:tcPr>
            <w:tcW w:w="5707" w:type="dxa"/>
            <w:noWrap w:val="0"/>
            <w:tcMar>
              <w:top w:w="28" w:type="dxa"/>
              <w:left w:w="57" w:type="dxa"/>
              <w:bottom w:w="28" w:type="dxa"/>
              <w:right w:w="57" w:type="dxa"/>
            </w:tcMar>
            <w:vAlign w:val="center"/>
          </w:tcPr>
          <w:p w14:paraId="6808B25E">
            <w:pPr>
              <w:adjustRightInd w:val="0"/>
              <w:snapToGrid w:val="0"/>
              <w:spacing w:line="320" w:lineRule="exact"/>
              <w:rPr>
                <w:rFonts w:ascii="Times New Roman" w:hAnsi="Times New Roman" w:eastAsia="仿宋_GB2312"/>
                <w:color w:val="000000"/>
                <w:sz w:val="24"/>
              </w:rPr>
            </w:pPr>
            <w:r>
              <w:rPr>
                <w:rFonts w:ascii="Times New Roman" w:hAnsi="Times New Roman" w:eastAsia="仿宋_GB2312"/>
                <w:color w:val="000000"/>
                <w:sz w:val="24"/>
              </w:rPr>
              <w:t>本文件规定了酶联免疫分析仪的要求，标识、标签和使用说明、包装、贮存和运输，描述了相应的试验方法。本文件适用于以酶联免疫吸附试验（ELISA）法和朗伯-比尔（Lambert-Beer）定律为测量原理，对待测物质进行定量或定性分析的酶联免疫分析仪，一般包含检测模块、加注模块、孵育模块、清洗模块等。</w:t>
            </w:r>
          </w:p>
        </w:tc>
        <w:tc>
          <w:tcPr>
            <w:tcW w:w="1566" w:type="dxa"/>
            <w:noWrap w:val="0"/>
            <w:tcMar>
              <w:top w:w="28" w:type="dxa"/>
              <w:left w:w="57" w:type="dxa"/>
              <w:bottom w:w="28" w:type="dxa"/>
              <w:right w:w="57" w:type="dxa"/>
            </w:tcMar>
            <w:vAlign w:val="center"/>
          </w:tcPr>
          <w:p w14:paraId="4D1704F7">
            <w:pPr>
              <w:adjustRightInd w:val="0"/>
              <w:snapToGrid w:val="0"/>
              <w:spacing w:line="320" w:lineRule="exact"/>
              <w:rPr>
                <w:rFonts w:ascii="Times New Roman" w:hAnsi="Times New Roman" w:eastAsia="仿宋_GB2312"/>
                <w:color w:val="000000"/>
                <w:sz w:val="24"/>
              </w:rPr>
            </w:pPr>
            <w:r>
              <w:rPr>
                <w:rFonts w:ascii="Times New Roman" w:hAnsi="Times New Roman" w:eastAsia="仿宋_GB2312"/>
                <w:color w:val="000000"/>
                <w:sz w:val="24"/>
              </w:rPr>
              <w:t>2025年10月15日</w:t>
            </w:r>
          </w:p>
        </w:tc>
      </w:tr>
      <w:tr w14:paraId="5A624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9" w:hRule="atLeast"/>
          <w:jc w:val="center"/>
        </w:trPr>
        <w:tc>
          <w:tcPr>
            <w:tcW w:w="527" w:type="dxa"/>
            <w:noWrap w:val="0"/>
            <w:tcMar>
              <w:top w:w="28" w:type="dxa"/>
              <w:left w:w="57" w:type="dxa"/>
              <w:bottom w:w="28" w:type="dxa"/>
              <w:right w:w="57" w:type="dxa"/>
            </w:tcMar>
            <w:vAlign w:val="center"/>
          </w:tcPr>
          <w:p w14:paraId="420654BE">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20</w:t>
            </w:r>
          </w:p>
        </w:tc>
        <w:tc>
          <w:tcPr>
            <w:tcW w:w="1935" w:type="dxa"/>
            <w:noWrap w:val="0"/>
            <w:tcMar>
              <w:top w:w="28" w:type="dxa"/>
              <w:left w:w="57" w:type="dxa"/>
              <w:bottom w:w="28" w:type="dxa"/>
              <w:right w:w="57" w:type="dxa"/>
            </w:tcMar>
            <w:vAlign w:val="center"/>
          </w:tcPr>
          <w:p w14:paraId="63F98F90">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YY/T 1585—2024</w:t>
            </w:r>
          </w:p>
        </w:tc>
        <w:tc>
          <w:tcPr>
            <w:tcW w:w="2225" w:type="dxa"/>
            <w:noWrap w:val="0"/>
            <w:tcMar>
              <w:top w:w="28" w:type="dxa"/>
              <w:left w:w="57" w:type="dxa"/>
              <w:bottom w:w="28" w:type="dxa"/>
              <w:right w:w="57" w:type="dxa"/>
            </w:tcMar>
            <w:vAlign w:val="center"/>
          </w:tcPr>
          <w:p w14:paraId="29CCF99C">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25-羟基维生素D测定试剂盒</w:t>
            </w:r>
          </w:p>
        </w:tc>
        <w:tc>
          <w:tcPr>
            <w:tcW w:w="737" w:type="dxa"/>
            <w:noWrap w:val="0"/>
            <w:tcMar>
              <w:top w:w="28" w:type="dxa"/>
              <w:left w:w="57" w:type="dxa"/>
              <w:bottom w:w="28" w:type="dxa"/>
              <w:right w:w="57" w:type="dxa"/>
            </w:tcMar>
            <w:vAlign w:val="center"/>
          </w:tcPr>
          <w:p w14:paraId="3F6A565D">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修订</w:t>
            </w:r>
          </w:p>
        </w:tc>
        <w:tc>
          <w:tcPr>
            <w:tcW w:w="2451" w:type="dxa"/>
            <w:noWrap w:val="0"/>
            <w:tcMar>
              <w:top w:w="28" w:type="dxa"/>
              <w:left w:w="57" w:type="dxa"/>
              <w:bottom w:w="28" w:type="dxa"/>
              <w:right w:w="57" w:type="dxa"/>
            </w:tcMar>
            <w:vAlign w:val="center"/>
          </w:tcPr>
          <w:p w14:paraId="1AC7AD03">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YY/T 1585—2017</w:t>
            </w:r>
          </w:p>
        </w:tc>
        <w:tc>
          <w:tcPr>
            <w:tcW w:w="5707" w:type="dxa"/>
            <w:noWrap w:val="0"/>
            <w:tcMar>
              <w:top w:w="28" w:type="dxa"/>
              <w:left w:w="57" w:type="dxa"/>
              <w:bottom w:w="28" w:type="dxa"/>
              <w:right w:w="57" w:type="dxa"/>
            </w:tcMar>
            <w:vAlign w:val="center"/>
          </w:tcPr>
          <w:p w14:paraId="39D9332A">
            <w:pPr>
              <w:adjustRightInd w:val="0"/>
              <w:snapToGrid w:val="0"/>
              <w:spacing w:line="320" w:lineRule="exact"/>
              <w:rPr>
                <w:rFonts w:ascii="Times New Roman" w:hAnsi="Times New Roman" w:eastAsia="仿宋_GB2312"/>
                <w:color w:val="000000"/>
                <w:sz w:val="24"/>
              </w:rPr>
            </w:pPr>
            <w:r>
              <w:rPr>
                <w:rFonts w:ascii="Times New Roman" w:hAnsi="Times New Roman" w:eastAsia="仿宋_GB2312"/>
                <w:color w:val="000000"/>
                <w:sz w:val="24"/>
              </w:rPr>
              <w:t>本文件规定了25-羟基维生素D测定试剂盒的要求、标识、标签和使用说明、包装、运输和贮存，描述了相应的试验方法。本文件适用于定量检测人血清或血浆中总25-羟基维生素D、25-羟基维生素D</w:t>
            </w:r>
            <w:r>
              <w:rPr>
                <w:rFonts w:ascii="Times New Roman" w:hAnsi="Times New Roman" w:eastAsia="仿宋_GB2312"/>
                <w:color w:val="000000"/>
                <w:sz w:val="24"/>
                <w:vertAlign w:val="subscript"/>
              </w:rPr>
              <w:t>2</w:t>
            </w:r>
            <w:r>
              <w:rPr>
                <w:rFonts w:ascii="Times New Roman" w:hAnsi="Times New Roman" w:eastAsia="仿宋_GB2312"/>
                <w:color w:val="000000"/>
                <w:sz w:val="24"/>
              </w:rPr>
              <w:t>、25-羟基维生素D</w:t>
            </w:r>
            <w:r>
              <w:rPr>
                <w:rFonts w:ascii="Times New Roman" w:hAnsi="Times New Roman" w:eastAsia="仿宋_GB2312"/>
                <w:color w:val="000000"/>
                <w:sz w:val="24"/>
                <w:vertAlign w:val="subscript"/>
              </w:rPr>
              <w:t>3</w:t>
            </w:r>
            <w:r>
              <w:rPr>
                <w:rFonts w:ascii="Times New Roman" w:hAnsi="Times New Roman" w:eastAsia="仿宋_GB2312"/>
                <w:color w:val="000000"/>
                <w:sz w:val="24"/>
              </w:rPr>
              <w:t>的试剂盒，包括标记免疫分析法（如酶标记、发光标记等）、免疫层析法、免疫比浊法和液相色谱</w:t>
            </w:r>
            <w:r>
              <w:rPr>
                <w:rFonts w:hint="eastAsia" w:ascii="Times New Roman" w:hAnsi="Times New Roman" w:eastAsia="仿宋_GB2312"/>
                <w:color w:val="000000"/>
                <w:sz w:val="24"/>
              </w:rPr>
              <w:t>—</w:t>
            </w:r>
            <w:r>
              <w:rPr>
                <w:rFonts w:ascii="Times New Roman" w:hAnsi="Times New Roman" w:eastAsia="仿宋_GB2312"/>
                <w:color w:val="000000"/>
                <w:sz w:val="24"/>
              </w:rPr>
              <w:t>串联质谱法等。</w:t>
            </w:r>
          </w:p>
        </w:tc>
        <w:tc>
          <w:tcPr>
            <w:tcW w:w="1566" w:type="dxa"/>
            <w:noWrap w:val="0"/>
            <w:tcMar>
              <w:top w:w="28" w:type="dxa"/>
              <w:left w:w="57" w:type="dxa"/>
              <w:bottom w:w="28" w:type="dxa"/>
              <w:right w:w="57" w:type="dxa"/>
            </w:tcMar>
            <w:vAlign w:val="center"/>
          </w:tcPr>
          <w:p w14:paraId="320A5929">
            <w:pPr>
              <w:adjustRightInd w:val="0"/>
              <w:snapToGrid w:val="0"/>
              <w:spacing w:line="320" w:lineRule="exact"/>
              <w:rPr>
                <w:rFonts w:ascii="Times New Roman" w:hAnsi="Times New Roman" w:eastAsia="仿宋_GB2312"/>
                <w:color w:val="000000"/>
                <w:sz w:val="24"/>
              </w:rPr>
            </w:pPr>
            <w:r>
              <w:rPr>
                <w:rFonts w:ascii="Times New Roman" w:hAnsi="Times New Roman" w:eastAsia="仿宋_GB2312"/>
                <w:color w:val="000000"/>
                <w:sz w:val="24"/>
              </w:rPr>
              <w:t>2025年10月15日</w:t>
            </w:r>
          </w:p>
        </w:tc>
      </w:tr>
      <w:tr w14:paraId="2CBBE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527" w:type="dxa"/>
            <w:noWrap w:val="0"/>
            <w:tcMar>
              <w:top w:w="28" w:type="dxa"/>
              <w:left w:w="57" w:type="dxa"/>
              <w:bottom w:w="28" w:type="dxa"/>
              <w:right w:w="57" w:type="dxa"/>
            </w:tcMar>
            <w:vAlign w:val="center"/>
          </w:tcPr>
          <w:p w14:paraId="0C613AF9">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21</w:t>
            </w:r>
          </w:p>
        </w:tc>
        <w:tc>
          <w:tcPr>
            <w:tcW w:w="1935" w:type="dxa"/>
            <w:noWrap w:val="0"/>
            <w:tcMar>
              <w:top w:w="28" w:type="dxa"/>
              <w:left w:w="57" w:type="dxa"/>
              <w:bottom w:w="28" w:type="dxa"/>
              <w:right w:w="57" w:type="dxa"/>
            </w:tcMar>
            <w:vAlign w:val="center"/>
          </w:tcPr>
          <w:p w14:paraId="1BE13393">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YY/T 1686—2024</w:t>
            </w:r>
          </w:p>
        </w:tc>
        <w:tc>
          <w:tcPr>
            <w:tcW w:w="2225" w:type="dxa"/>
            <w:noWrap w:val="0"/>
            <w:tcMar>
              <w:top w:w="28" w:type="dxa"/>
              <w:left w:w="57" w:type="dxa"/>
              <w:bottom w:w="28" w:type="dxa"/>
              <w:right w:w="57" w:type="dxa"/>
            </w:tcMar>
            <w:vAlign w:val="center"/>
          </w:tcPr>
          <w:p w14:paraId="658E62F0">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采用机器人技术的医用电气设备 术语、定义、分类</w:t>
            </w:r>
          </w:p>
        </w:tc>
        <w:tc>
          <w:tcPr>
            <w:tcW w:w="737" w:type="dxa"/>
            <w:noWrap w:val="0"/>
            <w:tcMar>
              <w:top w:w="28" w:type="dxa"/>
              <w:left w:w="57" w:type="dxa"/>
              <w:bottom w:w="28" w:type="dxa"/>
              <w:right w:w="57" w:type="dxa"/>
            </w:tcMar>
            <w:vAlign w:val="center"/>
          </w:tcPr>
          <w:p w14:paraId="5E2400B1">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修订</w:t>
            </w:r>
          </w:p>
        </w:tc>
        <w:tc>
          <w:tcPr>
            <w:tcW w:w="2451" w:type="dxa"/>
            <w:noWrap w:val="0"/>
            <w:tcMar>
              <w:top w:w="28" w:type="dxa"/>
              <w:left w:w="57" w:type="dxa"/>
              <w:bottom w:w="28" w:type="dxa"/>
              <w:right w:w="57" w:type="dxa"/>
            </w:tcMar>
            <w:vAlign w:val="center"/>
          </w:tcPr>
          <w:p w14:paraId="3F49937F">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YY/T 1686—2020</w:t>
            </w:r>
          </w:p>
        </w:tc>
        <w:tc>
          <w:tcPr>
            <w:tcW w:w="5707" w:type="dxa"/>
            <w:noWrap w:val="0"/>
            <w:tcMar>
              <w:top w:w="28" w:type="dxa"/>
              <w:left w:w="57" w:type="dxa"/>
              <w:bottom w:w="28" w:type="dxa"/>
              <w:right w:w="57" w:type="dxa"/>
            </w:tcMar>
            <w:vAlign w:val="center"/>
          </w:tcPr>
          <w:p w14:paraId="09A8C3C9">
            <w:pPr>
              <w:adjustRightInd w:val="0"/>
              <w:snapToGrid w:val="0"/>
              <w:spacing w:line="320" w:lineRule="exact"/>
              <w:rPr>
                <w:rFonts w:ascii="Times New Roman" w:hAnsi="Times New Roman" w:eastAsia="仿宋_GB2312"/>
                <w:color w:val="000000"/>
                <w:sz w:val="24"/>
              </w:rPr>
            </w:pPr>
            <w:r>
              <w:rPr>
                <w:rFonts w:ascii="Times New Roman" w:hAnsi="Times New Roman" w:eastAsia="仿宋_GB2312"/>
                <w:color w:val="000000"/>
                <w:sz w:val="24"/>
              </w:rPr>
              <w:t>本文件界定了采用机器人技术的医用电气设备或医用电气系统的术语、定义和分类。</w:t>
            </w:r>
          </w:p>
        </w:tc>
        <w:tc>
          <w:tcPr>
            <w:tcW w:w="1566" w:type="dxa"/>
            <w:noWrap w:val="0"/>
            <w:tcMar>
              <w:top w:w="28" w:type="dxa"/>
              <w:left w:w="57" w:type="dxa"/>
              <w:bottom w:w="28" w:type="dxa"/>
              <w:right w:w="57" w:type="dxa"/>
            </w:tcMar>
            <w:vAlign w:val="center"/>
          </w:tcPr>
          <w:p w14:paraId="34415C61">
            <w:pPr>
              <w:adjustRightInd w:val="0"/>
              <w:snapToGrid w:val="0"/>
              <w:spacing w:line="320" w:lineRule="exact"/>
              <w:rPr>
                <w:rFonts w:ascii="Times New Roman" w:hAnsi="Times New Roman" w:eastAsia="仿宋_GB2312"/>
                <w:color w:val="000000"/>
                <w:sz w:val="24"/>
              </w:rPr>
            </w:pPr>
            <w:r>
              <w:rPr>
                <w:rFonts w:ascii="Times New Roman" w:hAnsi="Times New Roman" w:eastAsia="仿宋_GB2312"/>
                <w:color w:val="000000"/>
                <w:sz w:val="24"/>
              </w:rPr>
              <w:t>2025年10月15日</w:t>
            </w:r>
          </w:p>
        </w:tc>
      </w:tr>
      <w:tr w14:paraId="70B2F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2" w:hRule="atLeast"/>
          <w:jc w:val="center"/>
        </w:trPr>
        <w:tc>
          <w:tcPr>
            <w:tcW w:w="527" w:type="dxa"/>
            <w:noWrap w:val="0"/>
            <w:tcMar>
              <w:top w:w="28" w:type="dxa"/>
              <w:left w:w="57" w:type="dxa"/>
              <w:bottom w:w="28" w:type="dxa"/>
              <w:right w:w="57" w:type="dxa"/>
            </w:tcMar>
            <w:vAlign w:val="center"/>
          </w:tcPr>
          <w:p w14:paraId="00BDF22D">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22</w:t>
            </w:r>
          </w:p>
        </w:tc>
        <w:tc>
          <w:tcPr>
            <w:tcW w:w="1935" w:type="dxa"/>
            <w:noWrap w:val="0"/>
            <w:tcMar>
              <w:top w:w="28" w:type="dxa"/>
              <w:left w:w="57" w:type="dxa"/>
              <w:bottom w:w="28" w:type="dxa"/>
              <w:right w:w="57" w:type="dxa"/>
            </w:tcMar>
            <w:vAlign w:val="center"/>
          </w:tcPr>
          <w:p w14:paraId="6F6A1923">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YY/T 1833.5—2024</w:t>
            </w:r>
          </w:p>
        </w:tc>
        <w:tc>
          <w:tcPr>
            <w:tcW w:w="2225" w:type="dxa"/>
            <w:noWrap w:val="0"/>
            <w:tcMar>
              <w:top w:w="28" w:type="dxa"/>
              <w:left w:w="57" w:type="dxa"/>
              <w:bottom w:w="28" w:type="dxa"/>
              <w:right w:w="57" w:type="dxa"/>
            </w:tcMar>
            <w:vAlign w:val="center"/>
          </w:tcPr>
          <w:p w14:paraId="60C20BF6">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 xml:space="preserve">人工智能医疗器械 质量要求和评价 第5部分：预训练模型  </w:t>
            </w:r>
          </w:p>
        </w:tc>
        <w:tc>
          <w:tcPr>
            <w:tcW w:w="737" w:type="dxa"/>
            <w:noWrap w:val="0"/>
            <w:tcMar>
              <w:top w:w="28" w:type="dxa"/>
              <w:left w:w="57" w:type="dxa"/>
              <w:bottom w:w="28" w:type="dxa"/>
              <w:right w:w="57" w:type="dxa"/>
            </w:tcMar>
            <w:vAlign w:val="center"/>
          </w:tcPr>
          <w:p w14:paraId="0DE66704">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制定</w:t>
            </w:r>
          </w:p>
        </w:tc>
        <w:tc>
          <w:tcPr>
            <w:tcW w:w="2451" w:type="dxa"/>
            <w:noWrap w:val="0"/>
            <w:tcMar>
              <w:top w:w="28" w:type="dxa"/>
              <w:left w:w="57" w:type="dxa"/>
              <w:bottom w:w="28" w:type="dxa"/>
              <w:right w:w="57" w:type="dxa"/>
            </w:tcMar>
            <w:vAlign w:val="center"/>
          </w:tcPr>
          <w:p w14:paraId="018FFE05">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w:t>
            </w:r>
          </w:p>
        </w:tc>
        <w:tc>
          <w:tcPr>
            <w:tcW w:w="5707" w:type="dxa"/>
            <w:noWrap w:val="0"/>
            <w:tcMar>
              <w:top w:w="28" w:type="dxa"/>
              <w:left w:w="57" w:type="dxa"/>
              <w:bottom w:w="28" w:type="dxa"/>
              <w:right w:w="57" w:type="dxa"/>
            </w:tcMar>
            <w:vAlign w:val="center"/>
          </w:tcPr>
          <w:p w14:paraId="5DB92E83">
            <w:pPr>
              <w:adjustRightInd w:val="0"/>
              <w:snapToGrid w:val="0"/>
              <w:spacing w:line="320" w:lineRule="exact"/>
              <w:rPr>
                <w:rFonts w:ascii="Times New Roman" w:hAnsi="Times New Roman" w:eastAsia="仿宋_GB2312"/>
                <w:color w:val="000000"/>
                <w:sz w:val="24"/>
              </w:rPr>
            </w:pPr>
            <w:r>
              <w:rPr>
                <w:rFonts w:ascii="Times New Roman" w:hAnsi="Times New Roman" w:eastAsia="仿宋_GB2312"/>
                <w:color w:val="000000"/>
                <w:sz w:val="24"/>
              </w:rPr>
              <w:t>本文件规定了人工智能医疗器械使用的预训练模型的通用质量要求，描述了相应的评价方法。本文件适用于人工智能医疗器械使用的预训练模型。本文件不适用于预训练模型的研发过程评价。</w:t>
            </w:r>
          </w:p>
        </w:tc>
        <w:tc>
          <w:tcPr>
            <w:tcW w:w="1566" w:type="dxa"/>
            <w:noWrap w:val="0"/>
            <w:tcMar>
              <w:top w:w="28" w:type="dxa"/>
              <w:left w:w="57" w:type="dxa"/>
              <w:bottom w:w="28" w:type="dxa"/>
              <w:right w:w="57" w:type="dxa"/>
            </w:tcMar>
            <w:vAlign w:val="center"/>
          </w:tcPr>
          <w:p w14:paraId="29318FD6">
            <w:pPr>
              <w:adjustRightInd w:val="0"/>
              <w:snapToGrid w:val="0"/>
              <w:spacing w:line="320" w:lineRule="exact"/>
              <w:rPr>
                <w:rFonts w:ascii="Times New Roman" w:hAnsi="Times New Roman" w:eastAsia="仿宋_GB2312"/>
                <w:color w:val="000000"/>
                <w:sz w:val="24"/>
              </w:rPr>
            </w:pPr>
            <w:r>
              <w:rPr>
                <w:rFonts w:ascii="Times New Roman" w:hAnsi="Times New Roman" w:eastAsia="仿宋_GB2312"/>
                <w:color w:val="000000"/>
                <w:sz w:val="24"/>
              </w:rPr>
              <w:t>2025年10月15日</w:t>
            </w:r>
          </w:p>
        </w:tc>
      </w:tr>
      <w:tr w14:paraId="6777F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2" w:hRule="atLeast"/>
          <w:jc w:val="center"/>
        </w:trPr>
        <w:tc>
          <w:tcPr>
            <w:tcW w:w="527" w:type="dxa"/>
            <w:noWrap w:val="0"/>
            <w:tcMar>
              <w:top w:w="28" w:type="dxa"/>
              <w:left w:w="57" w:type="dxa"/>
              <w:bottom w:w="28" w:type="dxa"/>
              <w:right w:w="57" w:type="dxa"/>
            </w:tcMar>
            <w:vAlign w:val="center"/>
          </w:tcPr>
          <w:p w14:paraId="4A060465">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23</w:t>
            </w:r>
          </w:p>
        </w:tc>
        <w:tc>
          <w:tcPr>
            <w:tcW w:w="1935" w:type="dxa"/>
            <w:noWrap w:val="0"/>
            <w:tcMar>
              <w:top w:w="28" w:type="dxa"/>
              <w:left w:w="57" w:type="dxa"/>
              <w:bottom w:w="28" w:type="dxa"/>
              <w:right w:w="57" w:type="dxa"/>
            </w:tcMar>
            <w:vAlign w:val="center"/>
          </w:tcPr>
          <w:p w14:paraId="799435C8">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YY/T 1860.1—2024</w:t>
            </w:r>
          </w:p>
        </w:tc>
        <w:tc>
          <w:tcPr>
            <w:tcW w:w="2225" w:type="dxa"/>
            <w:noWrap w:val="0"/>
            <w:tcMar>
              <w:top w:w="28" w:type="dxa"/>
              <w:left w:w="57" w:type="dxa"/>
              <w:bottom w:w="28" w:type="dxa"/>
              <w:right w:w="57" w:type="dxa"/>
            </w:tcMar>
            <w:vAlign w:val="center"/>
          </w:tcPr>
          <w:p w14:paraId="785E4728">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无源外科植入物 植入物涂层 第1部分：通用要求</w:t>
            </w:r>
          </w:p>
        </w:tc>
        <w:tc>
          <w:tcPr>
            <w:tcW w:w="737" w:type="dxa"/>
            <w:noWrap w:val="0"/>
            <w:tcMar>
              <w:top w:w="28" w:type="dxa"/>
              <w:left w:w="57" w:type="dxa"/>
              <w:bottom w:w="28" w:type="dxa"/>
              <w:right w:w="57" w:type="dxa"/>
            </w:tcMar>
            <w:vAlign w:val="center"/>
          </w:tcPr>
          <w:p w14:paraId="651ED232">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制定</w:t>
            </w:r>
          </w:p>
        </w:tc>
        <w:tc>
          <w:tcPr>
            <w:tcW w:w="2451" w:type="dxa"/>
            <w:noWrap w:val="0"/>
            <w:tcMar>
              <w:top w:w="28" w:type="dxa"/>
              <w:left w:w="57" w:type="dxa"/>
              <w:bottom w:w="28" w:type="dxa"/>
              <w:right w:w="57" w:type="dxa"/>
            </w:tcMar>
            <w:vAlign w:val="center"/>
          </w:tcPr>
          <w:p w14:paraId="7A4F4437">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w:t>
            </w:r>
          </w:p>
        </w:tc>
        <w:tc>
          <w:tcPr>
            <w:tcW w:w="5707" w:type="dxa"/>
            <w:noWrap w:val="0"/>
            <w:tcMar>
              <w:top w:w="28" w:type="dxa"/>
              <w:left w:w="57" w:type="dxa"/>
              <w:bottom w:w="28" w:type="dxa"/>
              <w:right w:w="57" w:type="dxa"/>
            </w:tcMar>
            <w:vAlign w:val="center"/>
          </w:tcPr>
          <w:p w14:paraId="495CB7D6">
            <w:pPr>
              <w:adjustRightInd w:val="0"/>
              <w:snapToGrid w:val="0"/>
              <w:spacing w:line="320" w:lineRule="exact"/>
              <w:rPr>
                <w:rFonts w:ascii="Times New Roman" w:hAnsi="Times New Roman" w:eastAsia="仿宋_GB2312"/>
                <w:color w:val="000000"/>
                <w:sz w:val="24"/>
              </w:rPr>
            </w:pPr>
            <w:r>
              <w:rPr>
                <w:rFonts w:ascii="Times New Roman" w:hAnsi="Times New Roman" w:eastAsia="仿宋_GB2312"/>
                <w:color w:val="000000"/>
                <w:sz w:val="24"/>
              </w:rPr>
              <w:t>本文件规定了用于无源外科植入物的植入物涂层的通用要求，包括表面涂层和表面改性。本文件规定了与通用涂层性能有关的要求，包括化学成分和相组成、表面结构、涂层覆盖完整性、溶解性、涂层厚度、粘结强度、耐磨性、孔隙率和孔径以及表面润湿性。本文件适用于表面涂层，其被定义为有意添加到基体上的、与基体自然表面具有任何不同性能的材料层。本文件适用于表面改性，表面改性是指对原基体的表面进行有意的转换或重建，以形成一种新的表面材料，该表面材料由基体本身的材料和可能的外来材料组成，并形成具有不同性能的表面层。由于涂层的相关特性及其所需的表征水平在很大程度上取决于植入物的预期应用，本文件中通用要求的通用性能并不旨在覆盖或取代特定应用性能标准的规定。本文件不适用于以改变表面粗糙度或原材料强度为唯一目的的结构改性表面。本文件不适用于天然钝化金属表面。虽然本文件适用于有意钝化的金属表面，但通过常规技术（如硝酸浸渍）钝化的成熟的材料通常是无害的，可以用非常基本的方式进行描述。本文件不适用于使用活的组织的植入物涂层。本文件不适用于层压板，即多层复合材料，例如由不同膨体聚四氟乙烯层构成的人造血管，但层压板的外露表面可以是植入物涂层。本文件不适用于覆盖物，例如覆膜支架。</w:t>
            </w:r>
          </w:p>
        </w:tc>
        <w:tc>
          <w:tcPr>
            <w:tcW w:w="1566" w:type="dxa"/>
            <w:noWrap w:val="0"/>
            <w:tcMar>
              <w:top w:w="28" w:type="dxa"/>
              <w:left w:w="57" w:type="dxa"/>
              <w:bottom w:w="28" w:type="dxa"/>
              <w:right w:w="57" w:type="dxa"/>
            </w:tcMar>
            <w:vAlign w:val="center"/>
          </w:tcPr>
          <w:p w14:paraId="3654CDA6">
            <w:pPr>
              <w:adjustRightInd w:val="0"/>
              <w:snapToGrid w:val="0"/>
              <w:spacing w:line="320" w:lineRule="exact"/>
              <w:rPr>
                <w:rFonts w:ascii="Times New Roman" w:hAnsi="Times New Roman" w:eastAsia="仿宋_GB2312"/>
                <w:color w:val="000000"/>
                <w:sz w:val="24"/>
              </w:rPr>
            </w:pPr>
            <w:r>
              <w:rPr>
                <w:rFonts w:ascii="Times New Roman" w:hAnsi="Times New Roman" w:eastAsia="仿宋_GB2312"/>
                <w:color w:val="000000"/>
                <w:sz w:val="24"/>
              </w:rPr>
              <w:t>2025年10月15日</w:t>
            </w:r>
          </w:p>
        </w:tc>
      </w:tr>
      <w:tr w14:paraId="01298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7" w:type="dxa"/>
            <w:noWrap w:val="0"/>
            <w:tcMar>
              <w:top w:w="28" w:type="dxa"/>
              <w:left w:w="57" w:type="dxa"/>
              <w:bottom w:w="28" w:type="dxa"/>
              <w:right w:w="57" w:type="dxa"/>
            </w:tcMar>
            <w:vAlign w:val="center"/>
          </w:tcPr>
          <w:p w14:paraId="0765FFA6">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24</w:t>
            </w:r>
          </w:p>
        </w:tc>
        <w:tc>
          <w:tcPr>
            <w:tcW w:w="1935" w:type="dxa"/>
            <w:noWrap w:val="0"/>
            <w:tcMar>
              <w:top w:w="28" w:type="dxa"/>
              <w:left w:w="57" w:type="dxa"/>
              <w:bottom w:w="28" w:type="dxa"/>
              <w:right w:w="57" w:type="dxa"/>
            </w:tcMar>
            <w:vAlign w:val="center"/>
          </w:tcPr>
          <w:p w14:paraId="6A047C27">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YY/T 1926.2—2024</w:t>
            </w:r>
          </w:p>
        </w:tc>
        <w:tc>
          <w:tcPr>
            <w:tcW w:w="2225" w:type="dxa"/>
            <w:noWrap w:val="0"/>
            <w:tcMar>
              <w:top w:w="28" w:type="dxa"/>
              <w:left w:w="57" w:type="dxa"/>
              <w:bottom w:w="28" w:type="dxa"/>
              <w:right w:w="57" w:type="dxa"/>
            </w:tcMar>
            <w:vAlign w:val="center"/>
          </w:tcPr>
          <w:p w14:paraId="666C51F6">
            <w:pPr>
              <w:adjustRightInd w:val="0"/>
              <w:snapToGrid w:val="0"/>
              <w:spacing w:line="320" w:lineRule="exact"/>
              <w:jc w:val="center"/>
              <w:rPr>
                <w:rFonts w:ascii="Times New Roman" w:hAnsi="Times New Roman" w:eastAsia="仿宋_GB2312"/>
                <w:color w:val="000000"/>
                <w:sz w:val="24"/>
                <w:highlight w:val="yellow"/>
              </w:rPr>
            </w:pPr>
            <w:r>
              <w:rPr>
                <w:rFonts w:ascii="Times New Roman" w:hAnsi="Times New Roman" w:eastAsia="仿宋_GB2312"/>
                <w:color w:val="000000"/>
                <w:sz w:val="24"/>
              </w:rPr>
              <w:t>脊柱植入器械 临床前力学性能评价和特殊要求 第2部分：椎间融合器</w:t>
            </w:r>
          </w:p>
        </w:tc>
        <w:tc>
          <w:tcPr>
            <w:tcW w:w="737" w:type="dxa"/>
            <w:noWrap w:val="0"/>
            <w:tcMar>
              <w:top w:w="28" w:type="dxa"/>
              <w:left w:w="57" w:type="dxa"/>
              <w:bottom w:w="28" w:type="dxa"/>
              <w:right w:w="57" w:type="dxa"/>
            </w:tcMar>
            <w:vAlign w:val="center"/>
          </w:tcPr>
          <w:p w14:paraId="43B4B62A">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制定</w:t>
            </w:r>
          </w:p>
        </w:tc>
        <w:tc>
          <w:tcPr>
            <w:tcW w:w="2451" w:type="dxa"/>
            <w:noWrap w:val="0"/>
            <w:tcMar>
              <w:top w:w="28" w:type="dxa"/>
              <w:left w:w="57" w:type="dxa"/>
              <w:bottom w:w="28" w:type="dxa"/>
              <w:right w:w="57" w:type="dxa"/>
            </w:tcMar>
            <w:vAlign w:val="center"/>
          </w:tcPr>
          <w:p w14:paraId="356487BA">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w:t>
            </w:r>
          </w:p>
        </w:tc>
        <w:tc>
          <w:tcPr>
            <w:tcW w:w="5707" w:type="dxa"/>
            <w:noWrap w:val="0"/>
            <w:tcMar>
              <w:top w:w="28" w:type="dxa"/>
              <w:left w:w="57" w:type="dxa"/>
              <w:bottom w:w="28" w:type="dxa"/>
              <w:right w:w="57" w:type="dxa"/>
            </w:tcMar>
            <w:vAlign w:val="center"/>
          </w:tcPr>
          <w:p w14:paraId="35C89034">
            <w:pPr>
              <w:adjustRightInd w:val="0"/>
              <w:snapToGrid w:val="0"/>
              <w:spacing w:line="320" w:lineRule="exact"/>
              <w:rPr>
                <w:rFonts w:ascii="Times New Roman" w:hAnsi="Times New Roman" w:eastAsia="仿宋_GB2312"/>
                <w:color w:val="000000"/>
                <w:sz w:val="24"/>
              </w:rPr>
            </w:pPr>
            <w:r>
              <w:rPr>
                <w:rFonts w:ascii="Times New Roman" w:hAnsi="Times New Roman" w:eastAsia="仿宋_GB2312"/>
                <w:color w:val="000000"/>
                <w:sz w:val="24"/>
              </w:rPr>
              <w:t>本文件规定了脊柱融合术中使用的脊柱椎间融合器的力学性能评价的特殊要求。本文件适用于脊柱融合术中使用的脊柱椎间融合器的评价。本文件主要关注于力学要求，同时本文件并未包含不同类型脊柱椎间融合器的所有评价内容。</w:t>
            </w:r>
          </w:p>
        </w:tc>
        <w:tc>
          <w:tcPr>
            <w:tcW w:w="1566" w:type="dxa"/>
            <w:noWrap w:val="0"/>
            <w:tcMar>
              <w:top w:w="28" w:type="dxa"/>
              <w:left w:w="57" w:type="dxa"/>
              <w:bottom w:w="28" w:type="dxa"/>
              <w:right w:w="57" w:type="dxa"/>
            </w:tcMar>
            <w:vAlign w:val="center"/>
          </w:tcPr>
          <w:p w14:paraId="353EC62E">
            <w:pPr>
              <w:adjustRightInd w:val="0"/>
              <w:snapToGrid w:val="0"/>
              <w:spacing w:line="320" w:lineRule="exact"/>
              <w:rPr>
                <w:rFonts w:ascii="Times New Roman" w:hAnsi="Times New Roman" w:eastAsia="仿宋_GB2312"/>
                <w:color w:val="000000"/>
                <w:sz w:val="24"/>
              </w:rPr>
            </w:pPr>
            <w:r>
              <w:rPr>
                <w:rFonts w:ascii="Times New Roman" w:hAnsi="Times New Roman" w:eastAsia="仿宋_GB2312"/>
                <w:color w:val="000000"/>
                <w:sz w:val="24"/>
              </w:rPr>
              <w:t>2025年10月15日</w:t>
            </w:r>
          </w:p>
        </w:tc>
      </w:tr>
      <w:tr w14:paraId="1EDF7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7" w:type="dxa"/>
            <w:noWrap w:val="0"/>
            <w:tcMar>
              <w:top w:w="28" w:type="dxa"/>
              <w:left w:w="57" w:type="dxa"/>
              <w:bottom w:w="28" w:type="dxa"/>
              <w:right w:w="57" w:type="dxa"/>
            </w:tcMar>
            <w:vAlign w:val="center"/>
          </w:tcPr>
          <w:p w14:paraId="3415BC3E">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25</w:t>
            </w:r>
          </w:p>
        </w:tc>
        <w:tc>
          <w:tcPr>
            <w:tcW w:w="1935" w:type="dxa"/>
            <w:noWrap w:val="0"/>
            <w:tcMar>
              <w:top w:w="28" w:type="dxa"/>
              <w:left w:w="57" w:type="dxa"/>
              <w:bottom w:w="28" w:type="dxa"/>
              <w:right w:w="57" w:type="dxa"/>
            </w:tcMar>
            <w:vAlign w:val="center"/>
          </w:tcPr>
          <w:p w14:paraId="302F9177">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YY/T 1930—2024</w:t>
            </w:r>
          </w:p>
        </w:tc>
        <w:tc>
          <w:tcPr>
            <w:tcW w:w="2225" w:type="dxa"/>
            <w:noWrap w:val="0"/>
            <w:tcMar>
              <w:top w:w="28" w:type="dxa"/>
              <w:left w:w="57" w:type="dxa"/>
              <w:bottom w:w="28" w:type="dxa"/>
              <w:right w:w="57" w:type="dxa"/>
            </w:tcMar>
            <w:vAlign w:val="center"/>
          </w:tcPr>
          <w:p w14:paraId="5ACCBE94">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医疗器械临床评价 术语和定义</w:t>
            </w:r>
          </w:p>
        </w:tc>
        <w:tc>
          <w:tcPr>
            <w:tcW w:w="737" w:type="dxa"/>
            <w:noWrap w:val="0"/>
            <w:tcMar>
              <w:top w:w="28" w:type="dxa"/>
              <w:left w:w="57" w:type="dxa"/>
              <w:bottom w:w="28" w:type="dxa"/>
              <w:right w:w="57" w:type="dxa"/>
            </w:tcMar>
            <w:vAlign w:val="center"/>
          </w:tcPr>
          <w:p w14:paraId="25AF0622">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制定</w:t>
            </w:r>
          </w:p>
        </w:tc>
        <w:tc>
          <w:tcPr>
            <w:tcW w:w="2451" w:type="dxa"/>
            <w:noWrap w:val="0"/>
            <w:tcMar>
              <w:top w:w="28" w:type="dxa"/>
              <w:left w:w="57" w:type="dxa"/>
              <w:bottom w:w="28" w:type="dxa"/>
              <w:right w:w="57" w:type="dxa"/>
            </w:tcMar>
            <w:vAlign w:val="center"/>
          </w:tcPr>
          <w:p w14:paraId="162DD63B">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w:t>
            </w:r>
          </w:p>
        </w:tc>
        <w:tc>
          <w:tcPr>
            <w:tcW w:w="5707" w:type="dxa"/>
            <w:noWrap w:val="0"/>
            <w:tcMar>
              <w:top w:w="28" w:type="dxa"/>
              <w:left w:w="57" w:type="dxa"/>
              <w:bottom w:w="28" w:type="dxa"/>
              <w:right w:w="57" w:type="dxa"/>
            </w:tcMar>
            <w:vAlign w:val="center"/>
          </w:tcPr>
          <w:p w14:paraId="7833ADCB">
            <w:pPr>
              <w:adjustRightInd w:val="0"/>
              <w:snapToGrid w:val="0"/>
              <w:spacing w:line="320" w:lineRule="exact"/>
              <w:rPr>
                <w:rFonts w:ascii="Times New Roman" w:hAnsi="Times New Roman" w:eastAsia="仿宋_GB2312"/>
                <w:color w:val="000000"/>
                <w:sz w:val="24"/>
              </w:rPr>
            </w:pPr>
            <w:r>
              <w:rPr>
                <w:rFonts w:ascii="Times New Roman" w:hAnsi="Times New Roman" w:eastAsia="仿宋_GB2312"/>
                <w:color w:val="000000"/>
                <w:sz w:val="24"/>
              </w:rPr>
              <w:t>本文件界定了医疗器械临床评价相关的术语和定义，包括医疗器械临床试验设计、实施、记录和报告中的术语和定义。本文件适用于医疗器械临床评价。本文件不适用于体外诊断试剂。</w:t>
            </w:r>
          </w:p>
        </w:tc>
        <w:tc>
          <w:tcPr>
            <w:tcW w:w="1566" w:type="dxa"/>
            <w:noWrap w:val="0"/>
            <w:tcMar>
              <w:top w:w="28" w:type="dxa"/>
              <w:left w:w="57" w:type="dxa"/>
              <w:bottom w:w="28" w:type="dxa"/>
              <w:right w:w="57" w:type="dxa"/>
            </w:tcMar>
            <w:vAlign w:val="center"/>
          </w:tcPr>
          <w:p w14:paraId="2F00E6E0">
            <w:pPr>
              <w:adjustRightInd w:val="0"/>
              <w:snapToGrid w:val="0"/>
              <w:spacing w:line="320" w:lineRule="exact"/>
              <w:rPr>
                <w:rFonts w:ascii="Times New Roman" w:hAnsi="Times New Roman" w:eastAsia="仿宋_GB2312"/>
                <w:color w:val="000000"/>
                <w:sz w:val="24"/>
              </w:rPr>
            </w:pPr>
            <w:r>
              <w:rPr>
                <w:rFonts w:ascii="Times New Roman" w:hAnsi="Times New Roman" w:eastAsia="仿宋_GB2312"/>
                <w:color w:val="000000"/>
                <w:sz w:val="24"/>
              </w:rPr>
              <w:t>2025年10月15日</w:t>
            </w:r>
          </w:p>
        </w:tc>
      </w:tr>
      <w:tr w14:paraId="2A9F3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7" w:type="dxa"/>
            <w:noWrap w:val="0"/>
            <w:tcMar>
              <w:top w:w="28" w:type="dxa"/>
              <w:left w:w="57" w:type="dxa"/>
              <w:bottom w:w="28" w:type="dxa"/>
              <w:right w:w="57" w:type="dxa"/>
            </w:tcMar>
            <w:vAlign w:val="center"/>
          </w:tcPr>
          <w:p w14:paraId="04AACBAA">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26</w:t>
            </w:r>
          </w:p>
        </w:tc>
        <w:tc>
          <w:tcPr>
            <w:tcW w:w="1935" w:type="dxa"/>
            <w:noWrap w:val="0"/>
            <w:tcMar>
              <w:top w:w="28" w:type="dxa"/>
              <w:left w:w="57" w:type="dxa"/>
              <w:bottom w:w="28" w:type="dxa"/>
              <w:right w:w="57" w:type="dxa"/>
            </w:tcMar>
            <w:vAlign w:val="center"/>
          </w:tcPr>
          <w:p w14:paraId="3BACED63">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YY/T 1938—2024</w:t>
            </w:r>
          </w:p>
        </w:tc>
        <w:tc>
          <w:tcPr>
            <w:tcW w:w="2225" w:type="dxa"/>
            <w:noWrap w:val="0"/>
            <w:tcMar>
              <w:top w:w="28" w:type="dxa"/>
              <w:left w:w="57" w:type="dxa"/>
              <w:bottom w:w="28" w:type="dxa"/>
              <w:right w:w="57" w:type="dxa"/>
            </w:tcMar>
            <w:vAlign w:val="center"/>
          </w:tcPr>
          <w:p w14:paraId="560E10E0">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 xml:space="preserve">医用透明质酸钠敷料  </w:t>
            </w:r>
          </w:p>
        </w:tc>
        <w:tc>
          <w:tcPr>
            <w:tcW w:w="737" w:type="dxa"/>
            <w:noWrap w:val="0"/>
            <w:tcMar>
              <w:top w:w="28" w:type="dxa"/>
              <w:left w:w="57" w:type="dxa"/>
              <w:bottom w:w="28" w:type="dxa"/>
              <w:right w:w="57" w:type="dxa"/>
            </w:tcMar>
            <w:vAlign w:val="center"/>
          </w:tcPr>
          <w:p w14:paraId="71500726">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制定</w:t>
            </w:r>
          </w:p>
        </w:tc>
        <w:tc>
          <w:tcPr>
            <w:tcW w:w="2451" w:type="dxa"/>
            <w:noWrap w:val="0"/>
            <w:tcMar>
              <w:top w:w="28" w:type="dxa"/>
              <w:left w:w="57" w:type="dxa"/>
              <w:bottom w:w="28" w:type="dxa"/>
              <w:right w:w="57" w:type="dxa"/>
            </w:tcMar>
            <w:vAlign w:val="center"/>
          </w:tcPr>
          <w:p w14:paraId="07A4F0BC">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w:t>
            </w:r>
          </w:p>
        </w:tc>
        <w:tc>
          <w:tcPr>
            <w:tcW w:w="5707" w:type="dxa"/>
            <w:noWrap w:val="0"/>
            <w:tcMar>
              <w:top w:w="28" w:type="dxa"/>
              <w:left w:w="57" w:type="dxa"/>
              <w:bottom w:w="28" w:type="dxa"/>
              <w:right w:w="57" w:type="dxa"/>
            </w:tcMar>
            <w:vAlign w:val="center"/>
          </w:tcPr>
          <w:p w14:paraId="0DE08A64">
            <w:pPr>
              <w:adjustRightInd w:val="0"/>
              <w:snapToGrid w:val="0"/>
              <w:spacing w:line="320" w:lineRule="exact"/>
              <w:rPr>
                <w:rFonts w:ascii="Times New Roman" w:hAnsi="Times New Roman" w:eastAsia="仿宋_GB2312"/>
                <w:color w:val="000000"/>
                <w:sz w:val="24"/>
              </w:rPr>
            </w:pPr>
            <w:r>
              <w:rPr>
                <w:rFonts w:ascii="Times New Roman" w:hAnsi="Times New Roman" w:eastAsia="仿宋_GB2312"/>
                <w:color w:val="000000"/>
                <w:sz w:val="24"/>
              </w:rPr>
              <w:t>本文件规定了医用透明质酸钠敷料的要求、标志及包装，描述了相应的试验方法。本文件适用于医用透明质酸钠敷料。本文件不适用于含抗菌、药物成分的医用透明质酸钠敷料。</w:t>
            </w:r>
          </w:p>
        </w:tc>
        <w:tc>
          <w:tcPr>
            <w:tcW w:w="1566" w:type="dxa"/>
            <w:noWrap w:val="0"/>
            <w:tcMar>
              <w:top w:w="28" w:type="dxa"/>
              <w:left w:w="57" w:type="dxa"/>
              <w:bottom w:w="28" w:type="dxa"/>
              <w:right w:w="57" w:type="dxa"/>
            </w:tcMar>
            <w:vAlign w:val="center"/>
          </w:tcPr>
          <w:p w14:paraId="2A77CDA6">
            <w:pPr>
              <w:adjustRightInd w:val="0"/>
              <w:snapToGrid w:val="0"/>
              <w:spacing w:line="320" w:lineRule="exact"/>
              <w:rPr>
                <w:rFonts w:ascii="Times New Roman" w:hAnsi="Times New Roman" w:eastAsia="仿宋_GB2312"/>
                <w:color w:val="000000"/>
                <w:sz w:val="24"/>
              </w:rPr>
            </w:pPr>
            <w:r>
              <w:rPr>
                <w:rFonts w:ascii="Times New Roman" w:hAnsi="Times New Roman" w:eastAsia="仿宋_GB2312"/>
                <w:color w:val="000000"/>
                <w:sz w:val="24"/>
              </w:rPr>
              <w:t>2025年10月15日</w:t>
            </w:r>
          </w:p>
        </w:tc>
      </w:tr>
      <w:tr w14:paraId="2F891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7" w:type="dxa"/>
            <w:noWrap w:val="0"/>
            <w:tcMar>
              <w:top w:w="28" w:type="dxa"/>
              <w:left w:w="57" w:type="dxa"/>
              <w:bottom w:w="28" w:type="dxa"/>
              <w:right w:w="57" w:type="dxa"/>
            </w:tcMar>
            <w:vAlign w:val="center"/>
          </w:tcPr>
          <w:p w14:paraId="7AA402F9">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27</w:t>
            </w:r>
          </w:p>
        </w:tc>
        <w:tc>
          <w:tcPr>
            <w:tcW w:w="1935" w:type="dxa"/>
            <w:noWrap w:val="0"/>
            <w:tcMar>
              <w:top w:w="28" w:type="dxa"/>
              <w:left w:w="57" w:type="dxa"/>
              <w:bottom w:w="28" w:type="dxa"/>
              <w:right w:w="57" w:type="dxa"/>
            </w:tcMar>
            <w:vAlign w:val="center"/>
          </w:tcPr>
          <w:p w14:paraId="530531A0">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YY/T 1940—2024</w:t>
            </w:r>
          </w:p>
        </w:tc>
        <w:tc>
          <w:tcPr>
            <w:tcW w:w="2225" w:type="dxa"/>
            <w:noWrap w:val="0"/>
            <w:tcMar>
              <w:top w:w="28" w:type="dxa"/>
              <w:left w:w="57" w:type="dxa"/>
              <w:bottom w:w="28" w:type="dxa"/>
              <w:right w:w="57" w:type="dxa"/>
            </w:tcMar>
            <w:vAlign w:val="center"/>
          </w:tcPr>
          <w:p w14:paraId="0ED3BDB1">
            <w:pPr>
              <w:adjustRightInd w:val="0"/>
              <w:snapToGrid w:val="0"/>
              <w:spacing w:line="320" w:lineRule="exact"/>
              <w:jc w:val="center"/>
              <w:rPr>
                <w:rFonts w:ascii="Times New Roman" w:hAnsi="Times New Roman" w:eastAsia="仿宋_GB2312"/>
                <w:color w:val="000000"/>
                <w:sz w:val="24"/>
                <w:highlight w:val="yellow"/>
              </w:rPr>
            </w:pPr>
            <w:r>
              <w:rPr>
                <w:rFonts w:ascii="Times New Roman" w:hAnsi="Times New Roman" w:eastAsia="仿宋_GB2312"/>
                <w:color w:val="000000"/>
                <w:sz w:val="24"/>
              </w:rPr>
              <w:t>用于增材制造的医用镍钛合金粉末</w:t>
            </w:r>
          </w:p>
        </w:tc>
        <w:tc>
          <w:tcPr>
            <w:tcW w:w="737" w:type="dxa"/>
            <w:noWrap w:val="0"/>
            <w:tcMar>
              <w:top w:w="28" w:type="dxa"/>
              <w:left w:w="57" w:type="dxa"/>
              <w:bottom w:w="28" w:type="dxa"/>
              <w:right w:w="57" w:type="dxa"/>
            </w:tcMar>
            <w:vAlign w:val="center"/>
          </w:tcPr>
          <w:p w14:paraId="7774C580">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制定</w:t>
            </w:r>
          </w:p>
        </w:tc>
        <w:tc>
          <w:tcPr>
            <w:tcW w:w="2451" w:type="dxa"/>
            <w:noWrap w:val="0"/>
            <w:tcMar>
              <w:top w:w="28" w:type="dxa"/>
              <w:left w:w="57" w:type="dxa"/>
              <w:bottom w:w="28" w:type="dxa"/>
              <w:right w:w="57" w:type="dxa"/>
            </w:tcMar>
            <w:vAlign w:val="center"/>
          </w:tcPr>
          <w:p w14:paraId="1161284B">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w:t>
            </w:r>
          </w:p>
        </w:tc>
        <w:tc>
          <w:tcPr>
            <w:tcW w:w="5707" w:type="dxa"/>
            <w:noWrap w:val="0"/>
            <w:tcMar>
              <w:top w:w="28" w:type="dxa"/>
              <w:left w:w="57" w:type="dxa"/>
              <w:bottom w:w="28" w:type="dxa"/>
              <w:right w:w="57" w:type="dxa"/>
            </w:tcMar>
            <w:vAlign w:val="center"/>
          </w:tcPr>
          <w:p w14:paraId="7F7A41CA">
            <w:pPr>
              <w:adjustRightInd w:val="0"/>
              <w:snapToGrid w:val="0"/>
              <w:spacing w:line="320" w:lineRule="exact"/>
              <w:rPr>
                <w:rFonts w:ascii="Times New Roman" w:hAnsi="Times New Roman" w:eastAsia="仿宋_GB2312"/>
                <w:color w:val="000000"/>
                <w:sz w:val="24"/>
              </w:rPr>
            </w:pPr>
            <w:r>
              <w:rPr>
                <w:rFonts w:ascii="Times New Roman" w:hAnsi="Times New Roman" w:eastAsia="仿宋_GB2312"/>
                <w:color w:val="000000"/>
                <w:sz w:val="24"/>
              </w:rPr>
              <w:t>本文件规定了用于增材制造的医用镍钛合金粉末的性能要求、标识、包装、运输及贮存，描述了相应的试验方法。本文件适用于以激光或电子束作为能量源的粉末床熔融增材制造工艺的医用镍钛合金粉末。</w:t>
            </w:r>
          </w:p>
        </w:tc>
        <w:tc>
          <w:tcPr>
            <w:tcW w:w="1566" w:type="dxa"/>
            <w:noWrap w:val="0"/>
            <w:tcMar>
              <w:top w:w="28" w:type="dxa"/>
              <w:left w:w="57" w:type="dxa"/>
              <w:bottom w:w="28" w:type="dxa"/>
              <w:right w:w="57" w:type="dxa"/>
            </w:tcMar>
            <w:vAlign w:val="center"/>
          </w:tcPr>
          <w:p w14:paraId="74E557E7">
            <w:pPr>
              <w:adjustRightInd w:val="0"/>
              <w:snapToGrid w:val="0"/>
              <w:spacing w:line="320" w:lineRule="exact"/>
              <w:rPr>
                <w:rFonts w:ascii="Times New Roman" w:hAnsi="Times New Roman" w:eastAsia="仿宋_GB2312"/>
                <w:color w:val="000000"/>
                <w:sz w:val="24"/>
              </w:rPr>
            </w:pPr>
            <w:r>
              <w:rPr>
                <w:rFonts w:ascii="Times New Roman" w:hAnsi="Times New Roman" w:eastAsia="仿宋_GB2312"/>
                <w:color w:val="000000"/>
                <w:sz w:val="24"/>
              </w:rPr>
              <w:t>2025年10月15日</w:t>
            </w:r>
          </w:p>
        </w:tc>
      </w:tr>
      <w:tr w14:paraId="3B3D9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7" w:type="dxa"/>
            <w:noWrap w:val="0"/>
            <w:tcMar>
              <w:top w:w="28" w:type="dxa"/>
              <w:left w:w="57" w:type="dxa"/>
              <w:bottom w:w="28" w:type="dxa"/>
              <w:right w:w="57" w:type="dxa"/>
            </w:tcMar>
            <w:vAlign w:val="center"/>
          </w:tcPr>
          <w:p w14:paraId="60F8B532">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28</w:t>
            </w:r>
          </w:p>
        </w:tc>
        <w:tc>
          <w:tcPr>
            <w:tcW w:w="1935" w:type="dxa"/>
            <w:noWrap w:val="0"/>
            <w:tcMar>
              <w:top w:w="28" w:type="dxa"/>
              <w:left w:w="57" w:type="dxa"/>
              <w:bottom w:w="28" w:type="dxa"/>
              <w:right w:w="57" w:type="dxa"/>
            </w:tcMar>
            <w:vAlign w:val="center"/>
          </w:tcPr>
          <w:p w14:paraId="4D26F2C5">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YY/T 1941—2024</w:t>
            </w:r>
          </w:p>
        </w:tc>
        <w:tc>
          <w:tcPr>
            <w:tcW w:w="2225" w:type="dxa"/>
            <w:noWrap w:val="0"/>
            <w:tcMar>
              <w:top w:w="28" w:type="dxa"/>
              <w:left w:w="57" w:type="dxa"/>
              <w:bottom w:w="28" w:type="dxa"/>
              <w:right w:w="57" w:type="dxa"/>
            </w:tcMar>
            <w:vAlign w:val="center"/>
          </w:tcPr>
          <w:p w14:paraId="5312983A">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采用机器人技术的腹腔内窥镜手术系统</w:t>
            </w:r>
          </w:p>
        </w:tc>
        <w:tc>
          <w:tcPr>
            <w:tcW w:w="737" w:type="dxa"/>
            <w:noWrap w:val="0"/>
            <w:tcMar>
              <w:top w:w="28" w:type="dxa"/>
              <w:left w:w="57" w:type="dxa"/>
              <w:bottom w:w="28" w:type="dxa"/>
              <w:right w:w="57" w:type="dxa"/>
            </w:tcMar>
            <w:vAlign w:val="center"/>
          </w:tcPr>
          <w:p w14:paraId="3267FF17">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制定</w:t>
            </w:r>
          </w:p>
        </w:tc>
        <w:tc>
          <w:tcPr>
            <w:tcW w:w="2451" w:type="dxa"/>
            <w:noWrap w:val="0"/>
            <w:tcMar>
              <w:top w:w="28" w:type="dxa"/>
              <w:left w:w="57" w:type="dxa"/>
              <w:bottom w:w="28" w:type="dxa"/>
              <w:right w:w="57" w:type="dxa"/>
            </w:tcMar>
            <w:vAlign w:val="center"/>
          </w:tcPr>
          <w:p w14:paraId="1E39AB4F">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w:t>
            </w:r>
          </w:p>
        </w:tc>
        <w:tc>
          <w:tcPr>
            <w:tcW w:w="5707" w:type="dxa"/>
            <w:noWrap w:val="0"/>
            <w:tcMar>
              <w:top w:w="28" w:type="dxa"/>
              <w:left w:w="57" w:type="dxa"/>
              <w:bottom w:w="28" w:type="dxa"/>
              <w:right w:w="57" w:type="dxa"/>
            </w:tcMar>
            <w:vAlign w:val="center"/>
          </w:tcPr>
          <w:p w14:paraId="66458D01">
            <w:pPr>
              <w:adjustRightInd w:val="0"/>
              <w:snapToGrid w:val="0"/>
              <w:spacing w:line="320" w:lineRule="exact"/>
              <w:rPr>
                <w:rFonts w:ascii="Times New Roman" w:hAnsi="Times New Roman" w:eastAsia="仿宋_GB2312"/>
                <w:color w:val="000000"/>
                <w:sz w:val="24"/>
              </w:rPr>
            </w:pPr>
            <w:r>
              <w:rPr>
                <w:rFonts w:ascii="Times New Roman" w:hAnsi="Times New Roman" w:eastAsia="仿宋_GB2312"/>
                <w:color w:val="000000"/>
                <w:sz w:val="24"/>
              </w:rPr>
              <w:t>本文件规定了采用机器人技术的腹腔内窥镜手术系统的技术要求，描述了相应的试验方法。本文件适用于采用机器人技术的腹腔内窥镜手术系统，以及通过交互条件和接口条件有连接的机器人手术器械。本文件不适用于腹腔内窥镜单孔手术系统。</w:t>
            </w:r>
          </w:p>
        </w:tc>
        <w:tc>
          <w:tcPr>
            <w:tcW w:w="1566" w:type="dxa"/>
            <w:noWrap w:val="0"/>
            <w:tcMar>
              <w:top w:w="28" w:type="dxa"/>
              <w:left w:w="57" w:type="dxa"/>
              <w:bottom w:w="28" w:type="dxa"/>
              <w:right w:w="57" w:type="dxa"/>
            </w:tcMar>
            <w:vAlign w:val="center"/>
          </w:tcPr>
          <w:p w14:paraId="26D23D25">
            <w:pPr>
              <w:adjustRightInd w:val="0"/>
              <w:snapToGrid w:val="0"/>
              <w:spacing w:line="320" w:lineRule="exact"/>
              <w:rPr>
                <w:rFonts w:ascii="Times New Roman" w:hAnsi="Times New Roman" w:eastAsia="仿宋_GB2312"/>
                <w:color w:val="000000"/>
                <w:sz w:val="24"/>
              </w:rPr>
            </w:pPr>
            <w:r>
              <w:rPr>
                <w:rFonts w:ascii="Times New Roman" w:hAnsi="Times New Roman" w:eastAsia="仿宋_GB2312"/>
                <w:color w:val="000000"/>
                <w:sz w:val="24"/>
              </w:rPr>
              <w:t>2025年10月15日</w:t>
            </w:r>
          </w:p>
        </w:tc>
      </w:tr>
      <w:tr w14:paraId="65BB0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7" w:type="dxa"/>
            <w:noWrap w:val="0"/>
            <w:tcMar>
              <w:top w:w="28" w:type="dxa"/>
              <w:left w:w="57" w:type="dxa"/>
              <w:bottom w:w="28" w:type="dxa"/>
              <w:right w:w="57" w:type="dxa"/>
            </w:tcMar>
            <w:vAlign w:val="center"/>
          </w:tcPr>
          <w:p w14:paraId="5C614456">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29</w:t>
            </w:r>
          </w:p>
        </w:tc>
        <w:tc>
          <w:tcPr>
            <w:tcW w:w="1935" w:type="dxa"/>
            <w:noWrap w:val="0"/>
            <w:tcMar>
              <w:top w:w="28" w:type="dxa"/>
              <w:left w:w="57" w:type="dxa"/>
              <w:bottom w:w="28" w:type="dxa"/>
              <w:right w:w="57" w:type="dxa"/>
            </w:tcMar>
            <w:vAlign w:val="center"/>
          </w:tcPr>
          <w:p w14:paraId="3F0D5359">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YY/T 1944—2024</w:t>
            </w:r>
          </w:p>
        </w:tc>
        <w:tc>
          <w:tcPr>
            <w:tcW w:w="2225" w:type="dxa"/>
            <w:noWrap w:val="0"/>
            <w:tcMar>
              <w:top w:w="28" w:type="dxa"/>
              <w:left w:w="57" w:type="dxa"/>
              <w:bottom w:w="28" w:type="dxa"/>
              <w:right w:w="57" w:type="dxa"/>
            </w:tcMar>
            <w:vAlign w:val="center"/>
          </w:tcPr>
          <w:p w14:paraId="54059531">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医用X射线高压发生器专用技术条件</w:t>
            </w:r>
          </w:p>
        </w:tc>
        <w:tc>
          <w:tcPr>
            <w:tcW w:w="737" w:type="dxa"/>
            <w:noWrap w:val="0"/>
            <w:tcMar>
              <w:top w:w="28" w:type="dxa"/>
              <w:left w:w="57" w:type="dxa"/>
              <w:bottom w:w="28" w:type="dxa"/>
              <w:right w:w="57" w:type="dxa"/>
            </w:tcMar>
            <w:vAlign w:val="center"/>
          </w:tcPr>
          <w:p w14:paraId="0BF5E413">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制定</w:t>
            </w:r>
          </w:p>
        </w:tc>
        <w:tc>
          <w:tcPr>
            <w:tcW w:w="2451" w:type="dxa"/>
            <w:noWrap w:val="0"/>
            <w:tcMar>
              <w:top w:w="28" w:type="dxa"/>
              <w:left w:w="57" w:type="dxa"/>
              <w:bottom w:w="28" w:type="dxa"/>
              <w:right w:w="57" w:type="dxa"/>
            </w:tcMar>
            <w:vAlign w:val="center"/>
          </w:tcPr>
          <w:p w14:paraId="411F0A72">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w:t>
            </w:r>
          </w:p>
        </w:tc>
        <w:tc>
          <w:tcPr>
            <w:tcW w:w="5707" w:type="dxa"/>
            <w:noWrap w:val="0"/>
            <w:tcMar>
              <w:top w:w="28" w:type="dxa"/>
              <w:left w:w="57" w:type="dxa"/>
              <w:bottom w:w="28" w:type="dxa"/>
              <w:right w:w="57" w:type="dxa"/>
            </w:tcMar>
            <w:vAlign w:val="center"/>
          </w:tcPr>
          <w:p w14:paraId="1989632C">
            <w:pPr>
              <w:adjustRightInd w:val="0"/>
              <w:snapToGrid w:val="0"/>
              <w:spacing w:line="320" w:lineRule="exact"/>
              <w:rPr>
                <w:rFonts w:ascii="Times New Roman" w:hAnsi="Times New Roman" w:eastAsia="仿宋_GB2312"/>
                <w:color w:val="000000"/>
                <w:sz w:val="24"/>
              </w:rPr>
            </w:pPr>
            <w:r>
              <w:rPr>
                <w:rFonts w:ascii="Times New Roman" w:hAnsi="Times New Roman" w:eastAsia="仿宋_GB2312"/>
                <w:color w:val="000000"/>
                <w:sz w:val="24"/>
              </w:rPr>
              <w:t>本文件规定了医用X射线高压发生器（以下简称高压发生器）的要求，描述了相应的试验方法。本文件适用于医用X射线发生装置的高压发生器，包括但不限于同X射线管成一体的高压发生器。</w:t>
            </w:r>
          </w:p>
        </w:tc>
        <w:tc>
          <w:tcPr>
            <w:tcW w:w="1566" w:type="dxa"/>
            <w:noWrap w:val="0"/>
            <w:tcMar>
              <w:top w:w="28" w:type="dxa"/>
              <w:left w:w="57" w:type="dxa"/>
              <w:bottom w:w="28" w:type="dxa"/>
              <w:right w:w="57" w:type="dxa"/>
            </w:tcMar>
            <w:vAlign w:val="center"/>
          </w:tcPr>
          <w:p w14:paraId="5F510D37">
            <w:pPr>
              <w:adjustRightInd w:val="0"/>
              <w:snapToGrid w:val="0"/>
              <w:spacing w:line="320" w:lineRule="exact"/>
              <w:rPr>
                <w:rFonts w:ascii="Times New Roman" w:hAnsi="Times New Roman" w:eastAsia="仿宋_GB2312"/>
                <w:color w:val="000000"/>
                <w:sz w:val="24"/>
              </w:rPr>
            </w:pPr>
            <w:r>
              <w:rPr>
                <w:rFonts w:ascii="Times New Roman" w:hAnsi="Times New Roman" w:eastAsia="仿宋_GB2312"/>
                <w:color w:val="000000"/>
                <w:sz w:val="24"/>
              </w:rPr>
              <w:t>2026年4月15日</w:t>
            </w:r>
          </w:p>
        </w:tc>
      </w:tr>
      <w:tr w14:paraId="0DE8E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3" w:hRule="atLeast"/>
          <w:jc w:val="center"/>
        </w:trPr>
        <w:tc>
          <w:tcPr>
            <w:tcW w:w="527" w:type="dxa"/>
            <w:noWrap w:val="0"/>
            <w:tcMar>
              <w:top w:w="28" w:type="dxa"/>
              <w:left w:w="57" w:type="dxa"/>
              <w:bottom w:w="28" w:type="dxa"/>
              <w:right w:w="57" w:type="dxa"/>
            </w:tcMar>
            <w:vAlign w:val="center"/>
          </w:tcPr>
          <w:p w14:paraId="6FE1C5AD">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30</w:t>
            </w:r>
          </w:p>
        </w:tc>
        <w:tc>
          <w:tcPr>
            <w:tcW w:w="1935" w:type="dxa"/>
            <w:noWrap w:val="0"/>
            <w:tcMar>
              <w:top w:w="28" w:type="dxa"/>
              <w:left w:w="57" w:type="dxa"/>
              <w:bottom w:w="28" w:type="dxa"/>
              <w:right w:w="57" w:type="dxa"/>
            </w:tcMar>
            <w:vAlign w:val="center"/>
          </w:tcPr>
          <w:p w14:paraId="5BE2FF9D">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YY/T 1946—2024</w:t>
            </w:r>
          </w:p>
        </w:tc>
        <w:tc>
          <w:tcPr>
            <w:tcW w:w="2225" w:type="dxa"/>
            <w:noWrap w:val="0"/>
            <w:tcMar>
              <w:top w:w="28" w:type="dxa"/>
              <w:left w:w="57" w:type="dxa"/>
              <w:bottom w:w="28" w:type="dxa"/>
              <w:right w:w="57" w:type="dxa"/>
            </w:tcMar>
            <w:vAlign w:val="center"/>
          </w:tcPr>
          <w:p w14:paraId="66827ED8">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肿瘤组织基因突变检测试剂盒（高通量测序法)</w:t>
            </w:r>
          </w:p>
        </w:tc>
        <w:tc>
          <w:tcPr>
            <w:tcW w:w="737" w:type="dxa"/>
            <w:noWrap w:val="0"/>
            <w:tcMar>
              <w:top w:w="28" w:type="dxa"/>
              <w:left w:w="57" w:type="dxa"/>
              <w:bottom w:w="28" w:type="dxa"/>
              <w:right w:w="57" w:type="dxa"/>
            </w:tcMar>
            <w:vAlign w:val="center"/>
          </w:tcPr>
          <w:p w14:paraId="42667CAB">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制定</w:t>
            </w:r>
          </w:p>
        </w:tc>
        <w:tc>
          <w:tcPr>
            <w:tcW w:w="2451" w:type="dxa"/>
            <w:noWrap w:val="0"/>
            <w:tcMar>
              <w:top w:w="28" w:type="dxa"/>
              <w:left w:w="57" w:type="dxa"/>
              <w:bottom w:w="28" w:type="dxa"/>
              <w:right w:w="57" w:type="dxa"/>
            </w:tcMar>
            <w:vAlign w:val="center"/>
          </w:tcPr>
          <w:p w14:paraId="7B8AD0CE">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w:t>
            </w:r>
          </w:p>
        </w:tc>
        <w:tc>
          <w:tcPr>
            <w:tcW w:w="5707" w:type="dxa"/>
            <w:noWrap w:val="0"/>
            <w:tcMar>
              <w:top w:w="28" w:type="dxa"/>
              <w:left w:w="57" w:type="dxa"/>
              <w:bottom w:w="28" w:type="dxa"/>
              <w:right w:w="57" w:type="dxa"/>
            </w:tcMar>
            <w:vAlign w:val="center"/>
          </w:tcPr>
          <w:p w14:paraId="578F7BAC">
            <w:pPr>
              <w:adjustRightInd w:val="0"/>
              <w:snapToGrid w:val="0"/>
              <w:spacing w:line="320" w:lineRule="exact"/>
              <w:rPr>
                <w:rFonts w:ascii="Times New Roman" w:hAnsi="Times New Roman" w:eastAsia="仿宋_GB2312"/>
                <w:color w:val="000000"/>
                <w:sz w:val="24"/>
              </w:rPr>
            </w:pPr>
            <w:r>
              <w:rPr>
                <w:rFonts w:ascii="Times New Roman" w:hAnsi="Times New Roman" w:eastAsia="仿宋_GB2312"/>
                <w:color w:val="000000"/>
                <w:sz w:val="24"/>
              </w:rPr>
              <w:t>本文件界定了肿瘤组织基因突变检测试剂盒（高通量测序法）（以下简称“试剂盒”）的术语和定义，规定了相关要求、标签和使用说明书以及包装、运输和贮存，并描述了相应的试验方法。本文件适用于使用基于探针捕获法或多重PCR法的高通量测序的试剂盒，该试剂盒用于检测肿瘤患者的福尔马林固定石蜡包埋（FFPE）组织样本中的单核苷酸变异（SNVs）、插入缺失变异（Indels）、拷贝数变异（CNAs）、基因融合（Fusions）、肿瘤突变负荷（TMB）和（或）微卫星不稳定性（MSI）。本文件也适用于肿瘤组织</w:t>
            </w:r>
            <w:r>
              <w:rPr>
                <w:rFonts w:hint="eastAsia" w:ascii="Times New Roman" w:hAnsi="Times New Roman" w:eastAsia="仿宋_GB2312"/>
                <w:color w:val="000000"/>
                <w:sz w:val="24"/>
              </w:rPr>
              <w:t>—</w:t>
            </w:r>
            <w:r>
              <w:rPr>
                <w:rFonts w:ascii="Times New Roman" w:hAnsi="Times New Roman" w:eastAsia="仿宋_GB2312"/>
                <w:color w:val="000000"/>
                <w:sz w:val="24"/>
              </w:rPr>
              <w:t>对照样本配对检测的试剂盒。本文件不适用于采用全外显子组测序以及采用单分子测序技术进行肿瘤基因突变检测的试剂盒。</w:t>
            </w:r>
          </w:p>
        </w:tc>
        <w:tc>
          <w:tcPr>
            <w:tcW w:w="1566" w:type="dxa"/>
            <w:noWrap w:val="0"/>
            <w:tcMar>
              <w:top w:w="28" w:type="dxa"/>
              <w:left w:w="57" w:type="dxa"/>
              <w:bottom w:w="28" w:type="dxa"/>
              <w:right w:w="57" w:type="dxa"/>
            </w:tcMar>
            <w:vAlign w:val="center"/>
          </w:tcPr>
          <w:p w14:paraId="498C424A">
            <w:pPr>
              <w:adjustRightInd w:val="0"/>
              <w:snapToGrid w:val="0"/>
              <w:spacing w:line="320" w:lineRule="exact"/>
              <w:rPr>
                <w:rFonts w:ascii="Times New Roman" w:hAnsi="Times New Roman" w:eastAsia="仿宋_GB2312"/>
                <w:color w:val="000000"/>
                <w:sz w:val="24"/>
              </w:rPr>
            </w:pPr>
            <w:r>
              <w:rPr>
                <w:rFonts w:ascii="Times New Roman" w:hAnsi="Times New Roman" w:eastAsia="仿宋_GB2312"/>
                <w:color w:val="000000"/>
                <w:sz w:val="24"/>
              </w:rPr>
              <w:t>2025年10月15日</w:t>
            </w:r>
          </w:p>
        </w:tc>
      </w:tr>
      <w:tr w14:paraId="7AE22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9" w:hRule="atLeast"/>
          <w:jc w:val="center"/>
        </w:trPr>
        <w:tc>
          <w:tcPr>
            <w:tcW w:w="527" w:type="dxa"/>
            <w:noWrap w:val="0"/>
            <w:tcMar>
              <w:top w:w="28" w:type="dxa"/>
              <w:left w:w="57" w:type="dxa"/>
              <w:bottom w:w="28" w:type="dxa"/>
              <w:right w:w="57" w:type="dxa"/>
            </w:tcMar>
            <w:vAlign w:val="center"/>
          </w:tcPr>
          <w:p w14:paraId="6AF145E3">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31</w:t>
            </w:r>
          </w:p>
        </w:tc>
        <w:tc>
          <w:tcPr>
            <w:tcW w:w="1935" w:type="dxa"/>
            <w:noWrap w:val="0"/>
            <w:tcMar>
              <w:top w:w="28" w:type="dxa"/>
              <w:left w:w="57" w:type="dxa"/>
              <w:bottom w:w="28" w:type="dxa"/>
              <w:right w:w="57" w:type="dxa"/>
            </w:tcMar>
            <w:vAlign w:val="center"/>
          </w:tcPr>
          <w:p w14:paraId="691B1AFB">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YY/T 1949—2024</w:t>
            </w:r>
          </w:p>
        </w:tc>
        <w:tc>
          <w:tcPr>
            <w:tcW w:w="2225" w:type="dxa"/>
            <w:noWrap w:val="0"/>
            <w:tcMar>
              <w:top w:w="28" w:type="dxa"/>
              <w:left w:w="57" w:type="dxa"/>
              <w:bottom w:w="28" w:type="dxa"/>
              <w:right w:w="57" w:type="dxa"/>
            </w:tcMar>
            <w:vAlign w:val="center"/>
          </w:tcPr>
          <w:p w14:paraId="305EFA05">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人工智能医疗器械 数据集专用要求：糖尿病视网膜病变眼底彩照</w:t>
            </w:r>
          </w:p>
        </w:tc>
        <w:tc>
          <w:tcPr>
            <w:tcW w:w="737" w:type="dxa"/>
            <w:noWrap w:val="0"/>
            <w:tcMar>
              <w:top w:w="28" w:type="dxa"/>
              <w:left w:w="57" w:type="dxa"/>
              <w:bottom w:w="28" w:type="dxa"/>
              <w:right w:w="57" w:type="dxa"/>
            </w:tcMar>
            <w:vAlign w:val="center"/>
          </w:tcPr>
          <w:p w14:paraId="3BE28966">
            <w:pPr>
              <w:jc w:val="center"/>
              <w:rPr>
                <w:rFonts w:ascii="Times New Roman" w:hAnsi="Times New Roman"/>
                <w:sz w:val="24"/>
              </w:rPr>
            </w:pPr>
            <w:r>
              <w:rPr>
                <w:rFonts w:ascii="Times New Roman" w:hAnsi="Times New Roman" w:eastAsia="仿宋_GB2312"/>
                <w:color w:val="000000"/>
                <w:sz w:val="24"/>
              </w:rPr>
              <w:t>制定</w:t>
            </w:r>
          </w:p>
        </w:tc>
        <w:tc>
          <w:tcPr>
            <w:tcW w:w="2451" w:type="dxa"/>
            <w:noWrap w:val="0"/>
            <w:tcMar>
              <w:top w:w="28" w:type="dxa"/>
              <w:left w:w="57" w:type="dxa"/>
              <w:bottom w:w="28" w:type="dxa"/>
              <w:right w:w="57" w:type="dxa"/>
            </w:tcMar>
            <w:vAlign w:val="center"/>
          </w:tcPr>
          <w:p w14:paraId="2694705A">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w:t>
            </w:r>
          </w:p>
        </w:tc>
        <w:tc>
          <w:tcPr>
            <w:tcW w:w="5707" w:type="dxa"/>
            <w:noWrap w:val="0"/>
            <w:tcMar>
              <w:top w:w="28" w:type="dxa"/>
              <w:left w:w="57" w:type="dxa"/>
              <w:bottom w:w="28" w:type="dxa"/>
              <w:right w:w="57" w:type="dxa"/>
            </w:tcMar>
            <w:vAlign w:val="center"/>
          </w:tcPr>
          <w:p w14:paraId="0FAD47AE">
            <w:pPr>
              <w:adjustRightInd w:val="0"/>
              <w:snapToGrid w:val="0"/>
              <w:spacing w:line="320" w:lineRule="exact"/>
              <w:rPr>
                <w:rFonts w:ascii="Times New Roman" w:hAnsi="Times New Roman" w:eastAsia="仿宋_GB2312"/>
                <w:color w:val="000000"/>
                <w:sz w:val="24"/>
              </w:rPr>
            </w:pPr>
            <w:r>
              <w:rPr>
                <w:rFonts w:ascii="Times New Roman" w:hAnsi="Times New Roman" w:eastAsia="仿宋_GB2312"/>
                <w:color w:val="000000"/>
                <w:sz w:val="24"/>
              </w:rPr>
              <w:t>本文件规定了用于人工智能医疗器械的糖尿病视网膜病变（以下简称“糖网”）眼底彩照数据集的专用要求，描述了相应的试验方法。本文件适用于对糖网眼底彩照进行后处理的人工智能医疗器械研发、生产、质控等环节使用的数据集。</w:t>
            </w:r>
          </w:p>
        </w:tc>
        <w:tc>
          <w:tcPr>
            <w:tcW w:w="1566" w:type="dxa"/>
            <w:noWrap w:val="0"/>
            <w:tcMar>
              <w:top w:w="28" w:type="dxa"/>
              <w:left w:w="57" w:type="dxa"/>
              <w:bottom w:w="28" w:type="dxa"/>
              <w:right w:w="57" w:type="dxa"/>
            </w:tcMar>
            <w:vAlign w:val="center"/>
          </w:tcPr>
          <w:p w14:paraId="2E8687C6">
            <w:pPr>
              <w:adjustRightInd w:val="0"/>
              <w:snapToGrid w:val="0"/>
              <w:spacing w:line="320" w:lineRule="exact"/>
              <w:rPr>
                <w:rFonts w:ascii="Times New Roman" w:hAnsi="Times New Roman" w:eastAsia="仿宋_GB2312"/>
                <w:color w:val="000000"/>
                <w:sz w:val="24"/>
              </w:rPr>
            </w:pPr>
            <w:r>
              <w:rPr>
                <w:rFonts w:ascii="Times New Roman" w:hAnsi="Times New Roman" w:eastAsia="仿宋_GB2312"/>
                <w:color w:val="000000"/>
                <w:sz w:val="24"/>
              </w:rPr>
              <w:t>2025年10月15日</w:t>
            </w:r>
          </w:p>
        </w:tc>
      </w:tr>
      <w:tr w14:paraId="0D267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7" w:hRule="atLeast"/>
          <w:jc w:val="center"/>
        </w:trPr>
        <w:tc>
          <w:tcPr>
            <w:tcW w:w="527" w:type="dxa"/>
            <w:noWrap w:val="0"/>
            <w:tcMar>
              <w:top w:w="28" w:type="dxa"/>
              <w:left w:w="57" w:type="dxa"/>
              <w:bottom w:w="28" w:type="dxa"/>
              <w:right w:w="57" w:type="dxa"/>
            </w:tcMar>
            <w:vAlign w:val="center"/>
          </w:tcPr>
          <w:p w14:paraId="28ECF7F2">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32</w:t>
            </w:r>
          </w:p>
        </w:tc>
        <w:tc>
          <w:tcPr>
            <w:tcW w:w="1935" w:type="dxa"/>
            <w:noWrap w:val="0"/>
            <w:tcMar>
              <w:top w:w="28" w:type="dxa"/>
              <w:left w:w="57" w:type="dxa"/>
              <w:bottom w:w="28" w:type="dxa"/>
              <w:right w:w="57" w:type="dxa"/>
            </w:tcMar>
            <w:vAlign w:val="center"/>
          </w:tcPr>
          <w:p w14:paraId="522FE084">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YY/T 1950—2024</w:t>
            </w:r>
          </w:p>
        </w:tc>
        <w:tc>
          <w:tcPr>
            <w:tcW w:w="2225" w:type="dxa"/>
            <w:noWrap w:val="0"/>
            <w:tcMar>
              <w:top w:w="28" w:type="dxa"/>
              <w:left w:w="57" w:type="dxa"/>
              <w:bottom w:w="28" w:type="dxa"/>
              <w:right w:w="57" w:type="dxa"/>
            </w:tcMar>
            <w:vAlign w:val="center"/>
          </w:tcPr>
          <w:p w14:paraId="0E60E175">
            <w:pPr>
              <w:adjustRightInd w:val="0"/>
              <w:snapToGrid w:val="0"/>
              <w:spacing w:line="320" w:lineRule="exact"/>
              <w:jc w:val="center"/>
              <w:rPr>
                <w:rFonts w:ascii="Times New Roman" w:hAnsi="Times New Roman" w:eastAsia="仿宋_GB2312"/>
                <w:color w:val="000000"/>
                <w:sz w:val="24"/>
                <w:highlight w:val="yellow"/>
              </w:rPr>
            </w:pPr>
            <w:r>
              <w:rPr>
                <w:rFonts w:ascii="Times New Roman" w:hAnsi="Times New Roman" w:eastAsia="仿宋_GB2312"/>
                <w:color w:val="000000"/>
                <w:sz w:val="24"/>
              </w:rPr>
              <w:t>组织工程医疗器械 丝素蛋白</w:t>
            </w:r>
          </w:p>
        </w:tc>
        <w:tc>
          <w:tcPr>
            <w:tcW w:w="737" w:type="dxa"/>
            <w:noWrap w:val="0"/>
            <w:tcMar>
              <w:top w:w="28" w:type="dxa"/>
              <w:left w:w="57" w:type="dxa"/>
              <w:bottom w:w="28" w:type="dxa"/>
              <w:right w:w="57" w:type="dxa"/>
            </w:tcMar>
            <w:vAlign w:val="center"/>
          </w:tcPr>
          <w:p w14:paraId="0216054D">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制定</w:t>
            </w:r>
          </w:p>
        </w:tc>
        <w:tc>
          <w:tcPr>
            <w:tcW w:w="2451" w:type="dxa"/>
            <w:noWrap w:val="0"/>
            <w:tcMar>
              <w:top w:w="28" w:type="dxa"/>
              <w:left w:w="57" w:type="dxa"/>
              <w:bottom w:w="28" w:type="dxa"/>
              <w:right w:w="57" w:type="dxa"/>
            </w:tcMar>
            <w:vAlign w:val="center"/>
          </w:tcPr>
          <w:p w14:paraId="4F46A159">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w:t>
            </w:r>
          </w:p>
        </w:tc>
        <w:tc>
          <w:tcPr>
            <w:tcW w:w="5707" w:type="dxa"/>
            <w:noWrap w:val="0"/>
            <w:tcMar>
              <w:top w:w="28" w:type="dxa"/>
              <w:left w:w="57" w:type="dxa"/>
              <w:bottom w:w="28" w:type="dxa"/>
              <w:right w:w="57" w:type="dxa"/>
            </w:tcMar>
            <w:vAlign w:val="center"/>
          </w:tcPr>
          <w:p w14:paraId="7C552906">
            <w:pPr>
              <w:adjustRightInd w:val="0"/>
              <w:snapToGrid w:val="0"/>
              <w:spacing w:line="320" w:lineRule="exact"/>
              <w:rPr>
                <w:rFonts w:ascii="Times New Roman" w:hAnsi="Times New Roman" w:eastAsia="仿宋_GB2312"/>
                <w:color w:val="000000"/>
                <w:sz w:val="24"/>
              </w:rPr>
            </w:pPr>
            <w:r>
              <w:rPr>
                <w:rFonts w:ascii="Times New Roman" w:hAnsi="Times New Roman" w:eastAsia="仿宋_GB2312"/>
                <w:color w:val="000000"/>
                <w:sz w:val="24"/>
              </w:rPr>
              <w:t>本文件规定了用于组织工程医疗器械产品的丝素蛋白的性能要求，以及标志、包装、运输和贮存等要求，并描述了相应的试验方法。本文件适用于制备组织工程医疗器械产品的丝素蛋白。</w:t>
            </w:r>
          </w:p>
        </w:tc>
        <w:tc>
          <w:tcPr>
            <w:tcW w:w="1566" w:type="dxa"/>
            <w:noWrap w:val="0"/>
            <w:tcMar>
              <w:top w:w="28" w:type="dxa"/>
              <w:left w:w="57" w:type="dxa"/>
              <w:bottom w:w="28" w:type="dxa"/>
              <w:right w:w="57" w:type="dxa"/>
            </w:tcMar>
            <w:vAlign w:val="center"/>
          </w:tcPr>
          <w:p w14:paraId="1AADA9C5">
            <w:pPr>
              <w:adjustRightInd w:val="0"/>
              <w:snapToGrid w:val="0"/>
              <w:spacing w:line="320" w:lineRule="exact"/>
              <w:rPr>
                <w:rFonts w:ascii="Times New Roman" w:hAnsi="Times New Roman" w:eastAsia="仿宋_GB2312"/>
                <w:color w:val="000000"/>
                <w:sz w:val="24"/>
              </w:rPr>
            </w:pPr>
            <w:r>
              <w:rPr>
                <w:rFonts w:ascii="Times New Roman" w:hAnsi="Times New Roman" w:eastAsia="仿宋_GB2312"/>
                <w:color w:val="000000"/>
                <w:sz w:val="24"/>
              </w:rPr>
              <w:t>2025年10月15日</w:t>
            </w:r>
          </w:p>
        </w:tc>
      </w:tr>
      <w:tr w14:paraId="236E4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9" w:hRule="atLeast"/>
          <w:jc w:val="center"/>
        </w:trPr>
        <w:tc>
          <w:tcPr>
            <w:tcW w:w="527" w:type="dxa"/>
            <w:noWrap w:val="0"/>
            <w:tcMar>
              <w:top w:w="28" w:type="dxa"/>
              <w:left w:w="57" w:type="dxa"/>
              <w:bottom w:w="28" w:type="dxa"/>
              <w:right w:w="57" w:type="dxa"/>
            </w:tcMar>
            <w:vAlign w:val="center"/>
          </w:tcPr>
          <w:p w14:paraId="5089BE90">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33</w:t>
            </w:r>
          </w:p>
        </w:tc>
        <w:tc>
          <w:tcPr>
            <w:tcW w:w="1935" w:type="dxa"/>
            <w:noWrap w:val="0"/>
            <w:tcMar>
              <w:top w:w="28" w:type="dxa"/>
              <w:left w:w="57" w:type="dxa"/>
              <w:bottom w:w="28" w:type="dxa"/>
              <w:right w:w="57" w:type="dxa"/>
            </w:tcMar>
            <w:vAlign w:val="center"/>
          </w:tcPr>
          <w:p w14:paraId="3D340055">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YY/T 1951—2024</w:t>
            </w:r>
          </w:p>
        </w:tc>
        <w:tc>
          <w:tcPr>
            <w:tcW w:w="2225" w:type="dxa"/>
            <w:noWrap w:val="0"/>
            <w:tcMar>
              <w:top w:w="28" w:type="dxa"/>
              <w:left w:w="57" w:type="dxa"/>
              <w:bottom w:w="28" w:type="dxa"/>
              <w:right w:w="57" w:type="dxa"/>
            </w:tcMar>
            <w:vAlign w:val="center"/>
          </w:tcPr>
          <w:p w14:paraId="09C4CC84">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组织工程医疗器械产品 生物源性周围神经修复植入物通用要求</w:t>
            </w:r>
          </w:p>
        </w:tc>
        <w:tc>
          <w:tcPr>
            <w:tcW w:w="737" w:type="dxa"/>
            <w:noWrap w:val="0"/>
            <w:tcMar>
              <w:top w:w="28" w:type="dxa"/>
              <w:left w:w="57" w:type="dxa"/>
              <w:bottom w:w="28" w:type="dxa"/>
              <w:right w:w="57" w:type="dxa"/>
            </w:tcMar>
            <w:vAlign w:val="center"/>
          </w:tcPr>
          <w:p w14:paraId="08F029F7">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制定</w:t>
            </w:r>
          </w:p>
        </w:tc>
        <w:tc>
          <w:tcPr>
            <w:tcW w:w="2451" w:type="dxa"/>
            <w:noWrap w:val="0"/>
            <w:tcMar>
              <w:top w:w="28" w:type="dxa"/>
              <w:left w:w="57" w:type="dxa"/>
              <w:bottom w:w="28" w:type="dxa"/>
              <w:right w:w="57" w:type="dxa"/>
            </w:tcMar>
            <w:vAlign w:val="center"/>
          </w:tcPr>
          <w:p w14:paraId="7D7BF44D">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w:t>
            </w:r>
          </w:p>
        </w:tc>
        <w:tc>
          <w:tcPr>
            <w:tcW w:w="5707" w:type="dxa"/>
            <w:noWrap w:val="0"/>
            <w:tcMar>
              <w:top w:w="28" w:type="dxa"/>
              <w:left w:w="57" w:type="dxa"/>
              <w:bottom w:w="28" w:type="dxa"/>
              <w:right w:w="57" w:type="dxa"/>
            </w:tcMar>
            <w:vAlign w:val="center"/>
          </w:tcPr>
          <w:p w14:paraId="7CD93635">
            <w:pPr>
              <w:adjustRightInd w:val="0"/>
              <w:snapToGrid w:val="0"/>
              <w:spacing w:line="320" w:lineRule="exact"/>
              <w:rPr>
                <w:rFonts w:ascii="Times New Roman" w:hAnsi="Times New Roman" w:eastAsia="仿宋_GB2312"/>
                <w:color w:val="000000"/>
                <w:sz w:val="24"/>
              </w:rPr>
            </w:pPr>
            <w:r>
              <w:rPr>
                <w:rFonts w:ascii="Times New Roman" w:hAnsi="Times New Roman" w:eastAsia="仿宋_GB2312"/>
                <w:color w:val="000000"/>
                <w:sz w:val="24"/>
              </w:rPr>
              <w:t>本文件规定了用于神经修复的生物源性周围神经植入物的性能指标、包装标识及贮存、运输等通用要求，描述了相应的试验方法。本文件适用于生物源性周围神经修复植入物。本文件不适用于非生物源性周围神经植入物。</w:t>
            </w:r>
          </w:p>
        </w:tc>
        <w:tc>
          <w:tcPr>
            <w:tcW w:w="1566" w:type="dxa"/>
            <w:noWrap w:val="0"/>
            <w:tcMar>
              <w:top w:w="28" w:type="dxa"/>
              <w:left w:w="57" w:type="dxa"/>
              <w:bottom w:w="28" w:type="dxa"/>
              <w:right w:w="57" w:type="dxa"/>
            </w:tcMar>
            <w:vAlign w:val="center"/>
          </w:tcPr>
          <w:p w14:paraId="07867392">
            <w:pPr>
              <w:adjustRightInd w:val="0"/>
              <w:snapToGrid w:val="0"/>
              <w:spacing w:line="320" w:lineRule="exact"/>
              <w:rPr>
                <w:rFonts w:ascii="Times New Roman" w:hAnsi="Times New Roman" w:eastAsia="仿宋_GB2312"/>
                <w:color w:val="000000"/>
                <w:sz w:val="24"/>
              </w:rPr>
            </w:pPr>
            <w:r>
              <w:rPr>
                <w:rFonts w:ascii="Times New Roman" w:hAnsi="Times New Roman" w:eastAsia="仿宋_GB2312"/>
                <w:color w:val="000000"/>
                <w:sz w:val="24"/>
              </w:rPr>
              <w:t>2025年10月15日</w:t>
            </w:r>
          </w:p>
        </w:tc>
      </w:tr>
      <w:tr w14:paraId="62BAA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8" w:hRule="atLeast"/>
          <w:jc w:val="center"/>
        </w:trPr>
        <w:tc>
          <w:tcPr>
            <w:tcW w:w="527" w:type="dxa"/>
            <w:noWrap w:val="0"/>
            <w:tcMar>
              <w:top w:w="28" w:type="dxa"/>
              <w:left w:w="57" w:type="dxa"/>
              <w:bottom w:w="28" w:type="dxa"/>
              <w:right w:w="57" w:type="dxa"/>
            </w:tcMar>
            <w:vAlign w:val="center"/>
          </w:tcPr>
          <w:p w14:paraId="65F37CCB">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34</w:t>
            </w:r>
          </w:p>
        </w:tc>
        <w:tc>
          <w:tcPr>
            <w:tcW w:w="1935" w:type="dxa"/>
            <w:noWrap w:val="0"/>
            <w:tcMar>
              <w:top w:w="28" w:type="dxa"/>
              <w:left w:w="57" w:type="dxa"/>
              <w:bottom w:w="28" w:type="dxa"/>
              <w:right w:w="57" w:type="dxa"/>
            </w:tcMar>
            <w:vAlign w:val="center"/>
          </w:tcPr>
          <w:p w14:paraId="5ACF37F9">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YY/T 1952.1—2024</w:t>
            </w:r>
          </w:p>
        </w:tc>
        <w:tc>
          <w:tcPr>
            <w:tcW w:w="2225" w:type="dxa"/>
            <w:noWrap w:val="0"/>
            <w:tcMar>
              <w:top w:w="28" w:type="dxa"/>
              <w:left w:w="57" w:type="dxa"/>
              <w:bottom w:w="28" w:type="dxa"/>
              <w:right w:w="57" w:type="dxa"/>
            </w:tcMar>
            <w:vAlign w:val="center"/>
          </w:tcPr>
          <w:p w14:paraId="2ECB1ED1">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牙科学 牙科器械用材料 第1部分：不锈钢</w:t>
            </w:r>
          </w:p>
        </w:tc>
        <w:tc>
          <w:tcPr>
            <w:tcW w:w="737" w:type="dxa"/>
            <w:noWrap w:val="0"/>
            <w:tcMar>
              <w:top w:w="28" w:type="dxa"/>
              <w:left w:w="57" w:type="dxa"/>
              <w:bottom w:w="28" w:type="dxa"/>
              <w:right w:w="57" w:type="dxa"/>
            </w:tcMar>
            <w:vAlign w:val="center"/>
          </w:tcPr>
          <w:p w14:paraId="1C90577E">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制定</w:t>
            </w:r>
          </w:p>
        </w:tc>
        <w:tc>
          <w:tcPr>
            <w:tcW w:w="2451" w:type="dxa"/>
            <w:noWrap w:val="0"/>
            <w:tcMar>
              <w:top w:w="28" w:type="dxa"/>
              <w:left w:w="57" w:type="dxa"/>
              <w:bottom w:w="28" w:type="dxa"/>
              <w:right w:w="57" w:type="dxa"/>
            </w:tcMar>
            <w:vAlign w:val="center"/>
          </w:tcPr>
          <w:p w14:paraId="6D342E6F">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w:t>
            </w:r>
          </w:p>
        </w:tc>
        <w:tc>
          <w:tcPr>
            <w:tcW w:w="5707" w:type="dxa"/>
            <w:noWrap w:val="0"/>
            <w:tcMar>
              <w:top w:w="28" w:type="dxa"/>
              <w:left w:w="57" w:type="dxa"/>
              <w:bottom w:w="28" w:type="dxa"/>
              <w:right w:w="57" w:type="dxa"/>
            </w:tcMar>
            <w:vAlign w:val="center"/>
          </w:tcPr>
          <w:p w14:paraId="2941A172">
            <w:pPr>
              <w:adjustRightInd w:val="0"/>
              <w:snapToGrid w:val="0"/>
              <w:spacing w:line="320" w:lineRule="exact"/>
              <w:rPr>
                <w:rFonts w:ascii="Times New Roman" w:hAnsi="Times New Roman" w:eastAsia="仿宋_GB2312"/>
                <w:color w:val="000000"/>
                <w:sz w:val="24"/>
              </w:rPr>
            </w:pPr>
            <w:r>
              <w:rPr>
                <w:rFonts w:ascii="Times New Roman" w:hAnsi="Times New Roman" w:eastAsia="仿宋_GB2312"/>
                <w:color w:val="000000"/>
                <w:sz w:val="24"/>
              </w:rPr>
              <w:t>本文件规定了当前常用于制造牙科器械的不锈钢材料、材料的选择及性能临床前评估的要求。本文件适用于制造器械整体或部分用的不锈钢材料。本文件适用于一次性和可重复使用的牙科器械，无论其是否连接到动力驱动系统。本文件不适用于长期在患者口中使用的器具和器械（如牙冠、牙桥、种植体）或非不锈钢制成的器具和器械。</w:t>
            </w:r>
          </w:p>
        </w:tc>
        <w:tc>
          <w:tcPr>
            <w:tcW w:w="1566" w:type="dxa"/>
            <w:noWrap w:val="0"/>
            <w:tcMar>
              <w:top w:w="28" w:type="dxa"/>
              <w:left w:w="57" w:type="dxa"/>
              <w:bottom w:w="28" w:type="dxa"/>
              <w:right w:w="57" w:type="dxa"/>
            </w:tcMar>
            <w:vAlign w:val="center"/>
          </w:tcPr>
          <w:p w14:paraId="44D9B260">
            <w:pPr>
              <w:adjustRightInd w:val="0"/>
              <w:snapToGrid w:val="0"/>
              <w:spacing w:line="320" w:lineRule="exact"/>
              <w:rPr>
                <w:rFonts w:ascii="Times New Roman" w:hAnsi="Times New Roman" w:eastAsia="仿宋_GB2312"/>
                <w:color w:val="000000"/>
                <w:sz w:val="24"/>
              </w:rPr>
            </w:pPr>
            <w:r>
              <w:rPr>
                <w:rFonts w:ascii="Times New Roman" w:hAnsi="Times New Roman" w:eastAsia="仿宋_GB2312"/>
                <w:color w:val="000000"/>
                <w:sz w:val="24"/>
              </w:rPr>
              <w:t>2025年10月15日</w:t>
            </w:r>
          </w:p>
        </w:tc>
      </w:tr>
    </w:tbl>
    <w:p w14:paraId="37AD1A06">
      <w:pPr>
        <w:spacing w:line="180" w:lineRule="exact"/>
        <w:rPr>
          <w:rFonts w:hint="eastAsia" w:ascii="仿宋_GB2312" w:hAnsi="仿宋" w:eastAsia="仿宋_GB2312"/>
          <w:sz w:val="28"/>
          <w:szCs w:val="28"/>
        </w:rPr>
      </w:pPr>
    </w:p>
    <w:sectPr>
      <w:footerReference r:id="rId3" w:type="default"/>
      <w:pgSz w:w="16838" w:h="11906" w:orient="landscape"/>
      <w:pgMar w:top="1531" w:right="1928" w:bottom="1531" w:left="1701" w:header="851" w:footer="113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1" w:usb1="080E0000" w:usb2="00000010" w:usb3="00000000" w:csb0="00040000" w:csb1="00000000"/>
  </w:font>
  <w:font w:name="仿宋_GB2312">
    <w:altName w:val="仿宋"/>
    <w:panose1 w:val="02010609030101010101"/>
    <w:charset w:val="86"/>
    <w:family w:val="modern"/>
    <w:pitch w:val="default"/>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C29F5">
    <w:pPr>
      <w:pStyle w:val="4"/>
      <w:wordWrap w:val="0"/>
      <w:jc w:val="right"/>
    </w:pP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13</w:t>
    </w:r>
    <w:r>
      <w:rPr>
        <w:rFonts w:ascii="Times New Roman" w:hAnsi="Times New Roman"/>
        <w:sz w:val="28"/>
        <w:szCs w:val="28"/>
      </w:rPr>
      <w:fldChar w:fldCharType="end"/>
    </w:r>
    <w:r>
      <w:rPr>
        <w:rFonts w:hint="eastAsia"/>
        <w:sz w:val="28"/>
        <w:szCs w:val="28"/>
      </w:rPr>
      <w:t xml:space="preserve"> —</w:t>
    </w:r>
    <w:r>
      <w:rPr>
        <w:rFonts w:hint="eastAsia"/>
        <w:color w:val="FFFFFF"/>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0C8"/>
    <w:rsid w:val="00016D27"/>
    <w:rsid w:val="00016E93"/>
    <w:rsid w:val="00051450"/>
    <w:rsid w:val="00071507"/>
    <w:rsid w:val="000A2989"/>
    <w:rsid w:val="000E0170"/>
    <w:rsid w:val="00101F08"/>
    <w:rsid w:val="00102AB2"/>
    <w:rsid w:val="00157D65"/>
    <w:rsid w:val="00164368"/>
    <w:rsid w:val="00186786"/>
    <w:rsid w:val="001B61C4"/>
    <w:rsid w:val="001C492C"/>
    <w:rsid w:val="001D3923"/>
    <w:rsid w:val="001D7B00"/>
    <w:rsid w:val="001F3FB0"/>
    <w:rsid w:val="00204B69"/>
    <w:rsid w:val="00247F9A"/>
    <w:rsid w:val="00266FD3"/>
    <w:rsid w:val="00277D15"/>
    <w:rsid w:val="002A510C"/>
    <w:rsid w:val="002A7F53"/>
    <w:rsid w:val="002F2CC3"/>
    <w:rsid w:val="00323910"/>
    <w:rsid w:val="003330A7"/>
    <w:rsid w:val="0035031B"/>
    <w:rsid w:val="00351116"/>
    <w:rsid w:val="00352FFE"/>
    <w:rsid w:val="0036326B"/>
    <w:rsid w:val="003B39B2"/>
    <w:rsid w:val="003B452F"/>
    <w:rsid w:val="003C4A36"/>
    <w:rsid w:val="003D08E2"/>
    <w:rsid w:val="003D78E8"/>
    <w:rsid w:val="003E7CB8"/>
    <w:rsid w:val="00405AE4"/>
    <w:rsid w:val="004218DC"/>
    <w:rsid w:val="00453B18"/>
    <w:rsid w:val="004A48F4"/>
    <w:rsid w:val="004A5C4E"/>
    <w:rsid w:val="004D7576"/>
    <w:rsid w:val="004F27D3"/>
    <w:rsid w:val="0050179C"/>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428CA"/>
    <w:rsid w:val="0067038A"/>
    <w:rsid w:val="00673EAB"/>
    <w:rsid w:val="00690209"/>
    <w:rsid w:val="006D3D5E"/>
    <w:rsid w:val="006E0E17"/>
    <w:rsid w:val="00727597"/>
    <w:rsid w:val="00735046"/>
    <w:rsid w:val="00766F07"/>
    <w:rsid w:val="007B409A"/>
    <w:rsid w:val="007C72C1"/>
    <w:rsid w:val="007E3EB2"/>
    <w:rsid w:val="007F6C62"/>
    <w:rsid w:val="00802B33"/>
    <w:rsid w:val="008044C1"/>
    <w:rsid w:val="0080591C"/>
    <w:rsid w:val="008300E3"/>
    <w:rsid w:val="008377A6"/>
    <w:rsid w:val="00837FBB"/>
    <w:rsid w:val="00840DEF"/>
    <w:rsid w:val="00845649"/>
    <w:rsid w:val="008457F1"/>
    <w:rsid w:val="00863C35"/>
    <w:rsid w:val="008C461A"/>
    <w:rsid w:val="008C5ECE"/>
    <w:rsid w:val="008C74C4"/>
    <w:rsid w:val="00926229"/>
    <w:rsid w:val="00944679"/>
    <w:rsid w:val="0094647A"/>
    <w:rsid w:val="0097437D"/>
    <w:rsid w:val="00981FFA"/>
    <w:rsid w:val="009869EE"/>
    <w:rsid w:val="00991BF3"/>
    <w:rsid w:val="009A1829"/>
    <w:rsid w:val="009A2DB4"/>
    <w:rsid w:val="009D7C65"/>
    <w:rsid w:val="009F63A3"/>
    <w:rsid w:val="00A03AD8"/>
    <w:rsid w:val="00A24E9C"/>
    <w:rsid w:val="00A254E3"/>
    <w:rsid w:val="00A351E7"/>
    <w:rsid w:val="00A62362"/>
    <w:rsid w:val="00A639CD"/>
    <w:rsid w:val="00A646C6"/>
    <w:rsid w:val="00A65BFC"/>
    <w:rsid w:val="00A8280B"/>
    <w:rsid w:val="00A82CA2"/>
    <w:rsid w:val="00AA30FC"/>
    <w:rsid w:val="00AC2D33"/>
    <w:rsid w:val="00B11072"/>
    <w:rsid w:val="00B16FFF"/>
    <w:rsid w:val="00B25838"/>
    <w:rsid w:val="00B64617"/>
    <w:rsid w:val="00B84EF7"/>
    <w:rsid w:val="00BA00D5"/>
    <w:rsid w:val="00BA1FC7"/>
    <w:rsid w:val="00BE16F8"/>
    <w:rsid w:val="00C05E89"/>
    <w:rsid w:val="00C1570A"/>
    <w:rsid w:val="00C51B28"/>
    <w:rsid w:val="00C57201"/>
    <w:rsid w:val="00C578A0"/>
    <w:rsid w:val="00C60442"/>
    <w:rsid w:val="00C73515"/>
    <w:rsid w:val="00C92BC0"/>
    <w:rsid w:val="00CA2B21"/>
    <w:rsid w:val="00CC6505"/>
    <w:rsid w:val="00CD27CB"/>
    <w:rsid w:val="00CE7A0B"/>
    <w:rsid w:val="00D03FFD"/>
    <w:rsid w:val="00D47CF9"/>
    <w:rsid w:val="00D53A64"/>
    <w:rsid w:val="00D61B72"/>
    <w:rsid w:val="00DD4D3D"/>
    <w:rsid w:val="00DD5C43"/>
    <w:rsid w:val="00DF1936"/>
    <w:rsid w:val="00E05A99"/>
    <w:rsid w:val="00E21EF7"/>
    <w:rsid w:val="00E41212"/>
    <w:rsid w:val="00E41A1A"/>
    <w:rsid w:val="00E73776"/>
    <w:rsid w:val="00ED2031"/>
    <w:rsid w:val="00F64776"/>
    <w:rsid w:val="00F6624B"/>
    <w:rsid w:val="00F8685B"/>
    <w:rsid w:val="00FA60C8"/>
    <w:rsid w:val="00FD22E5"/>
    <w:rsid w:val="00FD443E"/>
    <w:rsid w:val="00FD754D"/>
    <w:rsid w:val="07BFC780"/>
    <w:rsid w:val="0BEC7EA0"/>
    <w:rsid w:val="0F9E0E77"/>
    <w:rsid w:val="1DEFEEA8"/>
    <w:rsid w:val="1E7BB384"/>
    <w:rsid w:val="1E7E80E2"/>
    <w:rsid w:val="1FEB9CCF"/>
    <w:rsid w:val="27F71910"/>
    <w:rsid w:val="2A8D465A"/>
    <w:rsid w:val="37B9C166"/>
    <w:rsid w:val="3AED7E43"/>
    <w:rsid w:val="3B77BD65"/>
    <w:rsid w:val="3BF334FF"/>
    <w:rsid w:val="3D3F42E8"/>
    <w:rsid w:val="3EEE9FD4"/>
    <w:rsid w:val="3EFD6E64"/>
    <w:rsid w:val="3F7F78BB"/>
    <w:rsid w:val="3FBD7A83"/>
    <w:rsid w:val="3FDE6B52"/>
    <w:rsid w:val="3FED7D42"/>
    <w:rsid w:val="43E2636A"/>
    <w:rsid w:val="4C1A048F"/>
    <w:rsid w:val="4EFB8B23"/>
    <w:rsid w:val="4F1961C7"/>
    <w:rsid w:val="569F761E"/>
    <w:rsid w:val="57DFBF7A"/>
    <w:rsid w:val="57FB8812"/>
    <w:rsid w:val="591D3208"/>
    <w:rsid w:val="5B95651D"/>
    <w:rsid w:val="5BAD12D7"/>
    <w:rsid w:val="5DFB23B6"/>
    <w:rsid w:val="5F297A5F"/>
    <w:rsid w:val="5FDFE324"/>
    <w:rsid w:val="63E446CD"/>
    <w:rsid w:val="63F59AF6"/>
    <w:rsid w:val="6BFB3409"/>
    <w:rsid w:val="6C7EACE9"/>
    <w:rsid w:val="6DBC5180"/>
    <w:rsid w:val="6E9B9F95"/>
    <w:rsid w:val="6FDFE9BA"/>
    <w:rsid w:val="709740DE"/>
    <w:rsid w:val="72541465"/>
    <w:rsid w:val="76770D67"/>
    <w:rsid w:val="77DFD689"/>
    <w:rsid w:val="77FFD6F2"/>
    <w:rsid w:val="7BEF5C9D"/>
    <w:rsid w:val="7BFDBB4E"/>
    <w:rsid w:val="7CEFCD41"/>
    <w:rsid w:val="7DF17981"/>
    <w:rsid w:val="7DFAB706"/>
    <w:rsid w:val="7DFE562A"/>
    <w:rsid w:val="7E6D3FCC"/>
    <w:rsid w:val="7E7DAD88"/>
    <w:rsid w:val="7E7F4993"/>
    <w:rsid w:val="7EB70122"/>
    <w:rsid w:val="7ED62E8A"/>
    <w:rsid w:val="7EDB8FA5"/>
    <w:rsid w:val="7EFFE80A"/>
    <w:rsid w:val="7F36F644"/>
    <w:rsid w:val="7F7FC04B"/>
    <w:rsid w:val="7F85B13A"/>
    <w:rsid w:val="7F8B1819"/>
    <w:rsid w:val="7FABB827"/>
    <w:rsid w:val="7FCC5F36"/>
    <w:rsid w:val="7FEB87BC"/>
    <w:rsid w:val="7FF3597F"/>
    <w:rsid w:val="7FFBAEC9"/>
    <w:rsid w:val="7FFFC793"/>
    <w:rsid w:val="87FAF082"/>
    <w:rsid w:val="8FFCCA22"/>
    <w:rsid w:val="9DF2960C"/>
    <w:rsid w:val="9FEE52B5"/>
    <w:rsid w:val="9FFF33E8"/>
    <w:rsid w:val="A77F417E"/>
    <w:rsid w:val="B5F7F11F"/>
    <w:rsid w:val="BEBBEBEA"/>
    <w:rsid w:val="BF328761"/>
    <w:rsid w:val="BF6D4BA9"/>
    <w:rsid w:val="BF6FBA81"/>
    <w:rsid w:val="BFB386AD"/>
    <w:rsid w:val="BFBAB311"/>
    <w:rsid w:val="CAFF62FE"/>
    <w:rsid w:val="CF7E4653"/>
    <w:rsid w:val="CFBB99D8"/>
    <w:rsid w:val="CFDD5826"/>
    <w:rsid w:val="D3FF89A5"/>
    <w:rsid w:val="D6C7F00E"/>
    <w:rsid w:val="D6E974AF"/>
    <w:rsid w:val="DBFF8BB7"/>
    <w:rsid w:val="DEE7EC91"/>
    <w:rsid w:val="E33FDB5A"/>
    <w:rsid w:val="E3AD812A"/>
    <w:rsid w:val="E7FFE2EE"/>
    <w:rsid w:val="EBFFD1DF"/>
    <w:rsid w:val="EDFFF368"/>
    <w:rsid w:val="EFD3DD23"/>
    <w:rsid w:val="EFDA5CB4"/>
    <w:rsid w:val="EFFF7475"/>
    <w:rsid w:val="F6EE0853"/>
    <w:rsid w:val="F6FFC9C3"/>
    <w:rsid w:val="F7D73D95"/>
    <w:rsid w:val="F7EFB00D"/>
    <w:rsid w:val="F9FF54CA"/>
    <w:rsid w:val="FAFD8643"/>
    <w:rsid w:val="FBB1B5C2"/>
    <w:rsid w:val="FBB6FDCC"/>
    <w:rsid w:val="FBBE0791"/>
    <w:rsid w:val="FDF7FC1F"/>
    <w:rsid w:val="FE3E8B64"/>
    <w:rsid w:val="FEDBD08E"/>
    <w:rsid w:val="FEFD2AF9"/>
    <w:rsid w:val="FF1DBB95"/>
    <w:rsid w:val="FFDB6BD0"/>
    <w:rsid w:val="FFFE86E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Balloon Text"/>
    <w:basedOn w:val="1"/>
    <w:semiHidden/>
    <w:uiPriority w:val="0"/>
    <w:rPr>
      <w:sz w:val="18"/>
      <w:szCs w:val="18"/>
    </w:rPr>
  </w:style>
  <w:style w:type="paragraph" w:styleId="4">
    <w:name w:val="footer"/>
    <w:basedOn w:val="1"/>
    <w:link w:val="10"/>
    <w:uiPriority w:val="99"/>
    <w:pPr>
      <w:tabs>
        <w:tab w:val="center" w:pos="4153"/>
        <w:tab w:val="right" w:pos="8306"/>
      </w:tabs>
      <w:snapToGrid w:val="0"/>
      <w:jc w:val="left"/>
    </w:pPr>
    <w:rPr>
      <w:sz w:val="18"/>
      <w:szCs w:val="18"/>
    </w:rPr>
  </w:style>
  <w:style w:type="paragraph" w:styleId="5">
    <w:name w:val="header"/>
    <w:basedOn w:val="1"/>
    <w:link w:val="9"/>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style>
  <w:style w:type="character" w:customStyle="1" w:styleId="9">
    <w:name w:val="页眉 Char"/>
    <w:link w:val="5"/>
    <w:uiPriority w:val="99"/>
    <w:rPr>
      <w:kern w:val="2"/>
      <w:sz w:val="18"/>
      <w:szCs w:val="18"/>
    </w:rPr>
  </w:style>
  <w:style w:type="character" w:customStyle="1" w:styleId="10">
    <w:name w:val="页脚 Char"/>
    <w:link w:val="4"/>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Xtzj.Com</Company>
  <Pages>13</Pages>
  <Words>5474</Words>
  <Characters>6425</Characters>
  <Lines>48</Lines>
  <Paragraphs>13</Paragraphs>
  <TotalTime>0</TotalTime>
  <ScaleCrop>false</ScaleCrop>
  <LinksUpToDate>false</LinksUpToDate>
  <CharactersWithSpaces>6532</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2024-10-08T09:16:00Z</dcterms:created>
  <dc:creator>Xtzj.User</dc:creator>
  <cp:lastModifiedBy>Blank  Space</cp:lastModifiedBy>
  <cp:lastPrinted>2024-10-08T16:34:00Z</cp:lastPrinted>
  <dcterms:modified xsi:type="dcterms:W3CDTF">2024-10-15T02:27:50Z</dcterms:modified>
  <dc:title>（局发文式样）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953519AFE0D148C191A0FA2CFDF7D5AF_13</vt:lpwstr>
  </property>
</Properties>
</file>